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5C9F" w14:textId="77777777" w:rsidR="0095133A" w:rsidRPr="005D23EB" w:rsidRDefault="0095133A" w:rsidP="005D23EB">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7366"/>
        <w:gridCol w:w="6628"/>
      </w:tblGrid>
      <w:tr w:rsidR="005D23EB" w:rsidRPr="005D23EB" w14:paraId="41291417" w14:textId="77777777" w:rsidTr="00B93D08">
        <w:tc>
          <w:tcPr>
            <w:tcW w:w="13994" w:type="dxa"/>
            <w:gridSpan w:val="2"/>
          </w:tcPr>
          <w:p w14:paraId="5193266A" w14:textId="77777777" w:rsidR="00B422CC" w:rsidRPr="005D23EB" w:rsidRDefault="00B422CC" w:rsidP="005D23EB">
            <w:pPr>
              <w:jc w:val="both"/>
              <w:rPr>
                <w:rFonts w:ascii="Times New Roman" w:hAnsi="Times New Roman" w:cs="Times New Roman"/>
                <w:b/>
              </w:rPr>
            </w:pPr>
            <w:r w:rsidRPr="005D23EB">
              <w:rPr>
                <w:rFonts w:ascii="Times New Roman" w:hAnsi="Times New Roman" w:cs="Times New Roman"/>
                <w:b/>
              </w:rPr>
              <w:t>Karşılaştırma ve Değerlendirme Tablosu</w:t>
            </w:r>
            <w:r w:rsidR="00CF7AE1" w:rsidRPr="005D23EB">
              <w:rPr>
                <w:rFonts w:ascii="Times New Roman" w:hAnsi="Times New Roman" w:cs="Times New Roman"/>
                <w:b/>
              </w:rPr>
              <w:t xml:space="preserve">                                                                                                                                                        </w:t>
            </w:r>
          </w:p>
          <w:p w14:paraId="15358481" w14:textId="77777777" w:rsidR="00455FA0" w:rsidRPr="005D23EB" w:rsidRDefault="00B93D08" w:rsidP="005D23EB">
            <w:pPr>
              <w:jc w:val="both"/>
              <w:rPr>
                <w:rFonts w:ascii="Times New Roman" w:hAnsi="Times New Roman" w:cs="Times New Roman"/>
                <w:b/>
              </w:rPr>
            </w:pPr>
            <w:r w:rsidRPr="005D23EB">
              <w:rPr>
                <w:rFonts w:ascii="Times New Roman" w:hAnsi="Times New Roman" w:cs="Times New Roman"/>
                <w:b/>
              </w:rPr>
              <w:t>PETROL</w:t>
            </w:r>
            <w:r w:rsidR="00455FA0" w:rsidRPr="005D23EB">
              <w:rPr>
                <w:rFonts w:ascii="Times New Roman" w:hAnsi="Times New Roman" w:cs="Times New Roman"/>
                <w:b/>
              </w:rPr>
              <w:t xml:space="preserve"> PİYASASI LİSANS YÖNETMELİĞİNDE DEĞİŞİKLİK YAPILMASINA DAİR YÖNETMELİK</w:t>
            </w:r>
            <w:r w:rsidRPr="005D23EB">
              <w:rPr>
                <w:rFonts w:ascii="Times New Roman" w:hAnsi="Times New Roman" w:cs="Times New Roman"/>
                <w:b/>
              </w:rPr>
              <w:t xml:space="preserve"> TASLAĞI</w:t>
            </w:r>
          </w:p>
        </w:tc>
      </w:tr>
      <w:tr w:rsidR="005D23EB" w:rsidRPr="005D23EB" w14:paraId="46527194" w14:textId="77777777" w:rsidTr="00D22B2C">
        <w:tc>
          <w:tcPr>
            <w:tcW w:w="7366" w:type="dxa"/>
          </w:tcPr>
          <w:p w14:paraId="5FF49E48" w14:textId="77777777" w:rsidR="00D22B2C" w:rsidRPr="005D23EB" w:rsidRDefault="00D22B2C" w:rsidP="005D23EB">
            <w:pPr>
              <w:jc w:val="both"/>
              <w:rPr>
                <w:rFonts w:ascii="Times New Roman" w:hAnsi="Times New Roman" w:cs="Times New Roman"/>
                <w:b/>
              </w:rPr>
            </w:pPr>
            <w:r w:rsidRPr="005D23EB">
              <w:rPr>
                <w:rFonts w:ascii="Times New Roman" w:hAnsi="Times New Roman" w:cs="Times New Roman"/>
                <w:b/>
              </w:rPr>
              <w:t>Mevcut Metin</w:t>
            </w:r>
          </w:p>
        </w:tc>
        <w:tc>
          <w:tcPr>
            <w:tcW w:w="6628" w:type="dxa"/>
          </w:tcPr>
          <w:p w14:paraId="46690786" w14:textId="77777777" w:rsidR="00D22B2C" w:rsidRPr="005D23EB" w:rsidRDefault="00D22B2C" w:rsidP="005D23EB">
            <w:pPr>
              <w:jc w:val="both"/>
              <w:rPr>
                <w:rFonts w:ascii="Times New Roman" w:hAnsi="Times New Roman" w:cs="Times New Roman"/>
                <w:b/>
              </w:rPr>
            </w:pPr>
            <w:r w:rsidRPr="005D23EB">
              <w:rPr>
                <w:rFonts w:ascii="Times New Roman" w:hAnsi="Times New Roman" w:cs="Times New Roman"/>
                <w:b/>
              </w:rPr>
              <w:t>Önerilen Metin</w:t>
            </w:r>
          </w:p>
        </w:tc>
      </w:tr>
      <w:tr w:rsidR="005D23EB" w:rsidRPr="005D23EB" w14:paraId="6C026D0C" w14:textId="77777777" w:rsidTr="00D22B2C">
        <w:trPr>
          <w:trHeight w:val="843"/>
        </w:trPr>
        <w:tc>
          <w:tcPr>
            <w:tcW w:w="7366" w:type="dxa"/>
          </w:tcPr>
          <w:p w14:paraId="63DC02B2" w14:textId="77777777" w:rsidR="00F9254F"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 xml:space="preserve">Lisans Gerektiren Faaliyetler ve Muafiyetler </w:t>
            </w:r>
            <w:r w:rsidR="00D22B2C" w:rsidRPr="005D23EB">
              <w:rPr>
                <w:rFonts w:ascii="Times New Roman" w:eastAsia="Times New Roman" w:hAnsi="Times New Roman" w:cs="Times New Roman"/>
                <w:b/>
                <w:bCs/>
                <w:lang w:eastAsia="tr-TR"/>
              </w:rPr>
              <w:t xml:space="preserve"> </w:t>
            </w:r>
          </w:p>
          <w:p w14:paraId="0A604EE5" w14:textId="77777777" w:rsidR="00D22B2C" w:rsidRPr="005D23EB" w:rsidRDefault="00D22B2C" w:rsidP="005D23EB">
            <w:pPr>
              <w:jc w:val="both"/>
              <w:rPr>
                <w:rFonts w:ascii="Times New Roman" w:hAnsi="Times New Roman" w:cs="Times New Roman"/>
                <w:b/>
              </w:rPr>
            </w:pPr>
            <w:r w:rsidRPr="005D23EB">
              <w:rPr>
                <w:rFonts w:ascii="Times New Roman" w:eastAsia="Times New Roman" w:hAnsi="Times New Roman" w:cs="Times New Roman"/>
                <w:b/>
                <w:bCs/>
                <w:lang w:eastAsia="tr-TR"/>
              </w:rPr>
              <w:t xml:space="preserve">Madde 6 – (2) </w:t>
            </w:r>
            <w:r w:rsidRPr="005D23EB">
              <w:rPr>
                <w:rFonts w:ascii="Times New Roman" w:hAnsi="Times New Roman" w:cs="Times New Roman"/>
              </w:rPr>
              <w:t xml:space="preserve">Bayilik lisansları; akaryakıt veya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alt başlıkları altında; istasyonlu bayi veya </w:t>
            </w:r>
            <w:proofErr w:type="spellStart"/>
            <w:r w:rsidRPr="005D23EB">
              <w:rPr>
                <w:rFonts w:ascii="Times New Roman" w:hAnsi="Times New Roman" w:cs="Times New Roman"/>
              </w:rPr>
              <w:t>istasyonsuz</w:t>
            </w:r>
            <w:proofErr w:type="spellEnd"/>
            <w:r w:rsidRPr="005D23EB">
              <w:rPr>
                <w:rFonts w:ascii="Times New Roman" w:hAnsi="Times New Roman" w:cs="Times New Roman"/>
              </w:rPr>
              <w:t xml:space="preserve"> bayi kategorilerine göre verilir.</w:t>
            </w:r>
          </w:p>
        </w:tc>
        <w:tc>
          <w:tcPr>
            <w:tcW w:w="6628" w:type="dxa"/>
          </w:tcPr>
          <w:p w14:paraId="2BBF4DB5" w14:textId="77777777" w:rsidR="00F9254F"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Gerektiren Faaliyetler ve Muafiyetler</w:t>
            </w:r>
          </w:p>
          <w:p w14:paraId="6514DA2A" w14:textId="77777777" w:rsidR="00D22B2C" w:rsidRPr="005D23EB" w:rsidRDefault="00D22B2C" w:rsidP="005D23EB">
            <w:pPr>
              <w:jc w:val="both"/>
              <w:rPr>
                <w:rFonts w:ascii="Times New Roman" w:hAnsi="Times New Roman" w:cs="Times New Roman"/>
                <w:b/>
              </w:rPr>
            </w:pPr>
            <w:r w:rsidRPr="005D23EB">
              <w:rPr>
                <w:rFonts w:ascii="Times New Roman" w:eastAsia="Times New Roman" w:hAnsi="Times New Roman" w:cs="Times New Roman"/>
                <w:b/>
                <w:bCs/>
                <w:lang w:eastAsia="tr-TR"/>
              </w:rPr>
              <w:t xml:space="preserve">MADDE 6 – (2) </w:t>
            </w:r>
            <w:r w:rsidRPr="005D23EB">
              <w:rPr>
                <w:rFonts w:ascii="Times New Roman" w:hAnsi="Times New Roman" w:cs="Times New Roman"/>
              </w:rPr>
              <w:t xml:space="preserve">Bayilik lisansları; akaryakıt veya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alt başlıkları altında</w:t>
            </w:r>
            <w:r w:rsidRPr="005D23EB">
              <w:rPr>
                <w:rFonts w:ascii="Times New Roman" w:hAnsi="Times New Roman" w:cs="Times New Roman"/>
                <w:b/>
                <w:strike/>
              </w:rPr>
              <w:t xml:space="preserve">; istasyonlu bayi veya </w:t>
            </w:r>
            <w:proofErr w:type="spellStart"/>
            <w:r w:rsidRPr="005D23EB">
              <w:rPr>
                <w:rFonts w:ascii="Times New Roman" w:hAnsi="Times New Roman" w:cs="Times New Roman"/>
                <w:b/>
                <w:strike/>
              </w:rPr>
              <w:t>istasyonsuz</w:t>
            </w:r>
            <w:proofErr w:type="spellEnd"/>
            <w:r w:rsidRPr="005D23EB">
              <w:rPr>
                <w:rFonts w:ascii="Times New Roman" w:hAnsi="Times New Roman" w:cs="Times New Roman"/>
                <w:b/>
                <w:strike/>
              </w:rPr>
              <w:t xml:space="preserve"> bayi kategorilerine göre</w:t>
            </w:r>
            <w:r w:rsidRPr="005D23EB">
              <w:rPr>
                <w:rFonts w:ascii="Times New Roman" w:hAnsi="Times New Roman" w:cs="Times New Roman"/>
                <w:b/>
              </w:rPr>
              <w:t xml:space="preserve"> </w:t>
            </w:r>
            <w:r w:rsidRPr="005D23EB">
              <w:rPr>
                <w:rFonts w:ascii="Times New Roman" w:hAnsi="Times New Roman" w:cs="Times New Roman"/>
              </w:rPr>
              <w:t>verilir.</w:t>
            </w:r>
          </w:p>
        </w:tc>
      </w:tr>
      <w:tr w:rsidR="00D22B2C" w:rsidRPr="005D23EB" w14:paraId="7FD1D6F0" w14:textId="77777777" w:rsidTr="00D22B2C">
        <w:trPr>
          <w:trHeight w:val="843"/>
        </w:trPr>
        <w:tc>
          <w:tcPr>
            <w:tcW w:w="7366" w:type="dxa"/>
          </w:tcPr>
          <w:p w14:paraId="341E65DD" w14:textId="77777777" w:rsidR="00F9254F"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Gerektiren Faaliyetler ve Muafiyetler</w:t>
            </w:r>
          </w:p>
          <w:p w14:paraId="0D36968C" w14:textId="77777777" w:rsidR="00D22B2C" w:rsidRPr="005D23EB" w:rsidRDefault="00D22B2C" w:rsidP="005D23EB">
            <w:pPr>
              <w:jc w:val="both"/>
              <w:rPr>
                <w:rFonts w:ascii="Times New Roman" w:eastAsia="Times New Roman" w:hAnsi="Times New Roman" w:cs="Times New Roman"/>
                <w:b/>
                <w:bCs/>
                <w:lang w:eastAsia="tr-TR"/>
              </w:rPr>
            </w:pPr>
            <w:r w:rsidRPr="005D23EB">
              <w:rPr>
                <w:rFonts w:ascii="Times New Roman" w:eastAsia="Times New Roman" w:hAnsi="Times New Roman" w:cs="Times New Roman"/>
                <w:b/>
                <w:bCs/>
                <w:lang w:eastAsia="tr-TR"/>
              </w:rPr>
              <w:t xml:space="preserve">Madde 6 – (3) </w:t>
            </w:r>
            <w:r w:rsidRPr="005D23EB">
              <w:rPr>
                <w:rFonts w:ascii="Times New Roman" w:hAnsi="Times New Roman" w:cs="Times New Roman"/>
              </w:rPr>
              <w:t xml:space="preserve">Atık madeni yağdan </w:t>
            </w:r>
            <w:proofErr w:type="gramStart"/>
            <w:r w:rsidRPr="005D23EB">
              <w:rPr>
                <w:rFonts w:ascii="Times New Roman" w:hAnsi="Times New Roman" w:cs="Times New Roman"/>
              </w:rPr>
              <w:t>baz</w:t>
            </w:r>
            <w:proofErr w:type="gramEnd"/>
            <w:r w:rsidRPr="005D23EB">
              <w:rPr>
                <w:rFonts w:ascii="Times New Roman" w:hAnsi="Times New Roman" w:cs="Times New Roman"/>
              </w:rPr>
              <w:t xml:space="preserve"> yağ üretim faaliyeti, alt başlıklarına işletmek kaydıyla madeni yağ lisansı veya dağıtıcı lisansı sahiplerince yapılabilir. Atık madeni yağdan </w:t>
            </w:r>
            <w:proofErr w:type="gramStart"/>
            <w:r w:rsidRPr="005D23EB">
              <w:rPr>
                <w:rFonts w:ascii="Times New Roman" w:hAnsi="Times New Roman" w:cs="Times New Roman"/>
              </w:rPr>
              <w:t>baz</w:t>
            </w:r>
            <w:proofErr w:type="gramEnd"/>
            <w:r w:rsidRPr="005D23EB">
              <w:rPr>
                <w:rFonts w:ascii="Times New Roman" w:hAnsi="Times New Roman" w:cs="Times New Roman"/>
              </w:rPr>
              <w:t xml:space="preserve"> yağ üretimi madeni yağ üretim faaliyetinin içinde yer alır.</w:t>
            </w:r>
          </w:p>
        </w:tc>
        <w:tc>
          <w:tcPr>
            <w:tcW w:w="6628" w:type="dxa"/>
          </w:tcPr>
          <w:p w14:paraId="023A2260" w14:textId="77777777" w:rsidR="00F9254F"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Gerektiren Faaliyetler ve Muafiyetler</w:t>
            </w:r>
          </w:p>
          <w:p w14:paraId="0B45621E" w14:textId="77777777" w:rsidR="00D22B2C" w:rsidRPr="005D23EB" w:rsidRDefault="00D22B2C" w:rsidP="005D23EB">
            <w:pPr>
              <w:jc w:val="both"/>
              <w:rPr>
                <w:rFonts w:ascii="Times New Roman" w:eastAsia="Times New Roman" w:hAnsi="Times New Roman" w:cs="Times New Roman"/>
                <w:b/>
                <w:bCs/>
                <w:lang w:eastAsia="tr-TR"/>
              </w:rPr>
            </w:pPr>
            <w:r w:rsidRPr="005D23EB">
              <w:rPr>
                <w:rFonts w:ascii="Times New Roman" w:eastAsia="Times New Roman" w:hAnsi="Times New Roman" w:cs="Times New Roman"/>
                <w:b/>
                <w:bCs/>
                <w:lang w:eastAsia="tr-TR"/>
              </w:rPr>
              <w:t xml:space="preserve">Madde 6 – (3) </w:t>
            </w:r>
            <w:r w:rsidRPr="005D23EB">
              <w:rPr>
                <w:rFonts w:ascii="Times New Roman" w:hAnsi="Times New Roman" w:cs="Times New Roman"/>
              </w:rPr>
              <w:t xml:space="preserve">Atık madeni yağdan </w:t>
            </w:r>
            <w:proofErr w:type="gramStart"/>
            <w:r w:rsidRPr="005D23EB">
              <w:rPr>
                <w:rFonts w:ascii="Times New Roman" w:hAnsi="Times New Roman" w:cs="Times New Roman"/>
              </w:rPr>
              <w:t>baz</w:t>
            </w:r>
            <w:proofErr w:type="gramEnd"/>
            <w:r w:rsidRPr="005D23EB">
              <w:rPr>
                <w:rFonts w:ascii="Times New Roman" w:hAnsi="Times New Roman" w:cs="Times New Roman"/>
              </w:rPr>
              <w:t xml:space="preserve"> yağ üretim faaliyeti, alt başlıklarına işletmek kaydıyla madeni yağ lisansı veya dağıtıcı lisansı sahiplerince yapılabilir. Atık madeni yağdan </w:t>
            </w:r>
            <w:proofErr w:type="gramStart"/>
            <w:r w:rsidRPr="005D23EB">
              <w:rPr>
                <w:rFonts w:ascii="Times New Roman" w:hAnsi="Times New Roman" w:cs="Times New Roman"/>
              </w:rPr>
              <w:t>baz</w:t>
            </w:r>
            <w:proofErr w:type="gramEnd"/>
            <w:r w:rsidRPr="005D23EB">
              <w:rPr>
                <w:rFonts w:ascii="Times New Roman" w:hAnsi="Times New Roman" w:cs="Times New Roman"/>
              </w:rPr>
              <w:t xml:space="preserve"> yağ üretimi madeni yağ üretim faaliyetinin içinde yer alır. </w:t>
            </w:r>
            <w:r w:rsidRPr="005D23EB">
              <w:rPr>
                <w:rFonts w:ascii="Times New Roman" w:hAnsi="Times New Roman" w:cs="Times New Roman"/>
                <w:b/>
                <w:u w:val="single"/>
              </w:rPr>
              <w:t xml:space="preserve">Atık madeni yağlardan üretilenler hariç olmak üzere </w:t>
            </w:r>
            <w:proofErr w:type="gramStart"/>
            <w:r w:rsidRPr="005D23EB">
              <w:rPr>
                <w:rFonts w:ascii="Times New Roman" w:hAnsi="Times New Roman" w:cs="Times New Roman"/>
                <w:b/>
                <w:u w:val="single"/>
              </w:rPr>
              <w:t>baz</w:t>
            </w:r>
            <w:proofErr w:type="gramEnd"/>
            <w:r w:rsidRPr="005D23EB">
              <w:rPr>
                <w:rFonts w:ascii="Times New Roman" w:hAnsi="Times New Roman" w:cs="Times New Roman"/>
                <w:b/>
                <w:u w:val="single"/>
              </w:rPr>
              <w:t xml:space="preserve"> yağ üretilmesi sadece rafinerici lisansı kapsamında yapılabilir.</w:t>
            </w:r>
          </w:p>
        </w:tc>
      </w:tr>
      <w:tr w:rsidR="005D23EB" w:rsidRPr="005D23EB" w14:paraId="15A9B161" w14:textId="77777777" w:rsidTr="00D22B2C">
        <w:trPr>
          <w:trHeight w:val="843"/>
        </w:trPr>
        <w:tc>
          <w:tcPr>
            <w:tcW w:w="7366" w:type="dxa"/>
          </w:tcPr>
          <w:p w14:paraId="302FB54F" w14:textId="77777777" w:rsidR="00883A0C" w:rsidRPr="005D23EB" w:rsidRDefault="00883A0C"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Başvurusu</w:t>
            </w:r>
          </w:p>
          <w:p w14:paraId="314B5345" w14:textId="23F1E2F1" w:rsidR="00883A0C" w:rsidRPr="005D23EB" w:rsidRDefault="00883A0C" w:rsidP="009718DD">
            <w:pPr>
              <w:jc w:val="both"/>
              <w:rPr>
                <w:rFonts w:ascii="Times New Roman" w:hAnsi="Times New Roman" w:cs="Times New Roman"/>
                <w:b/>
                <w:bCs/>
              </w:rPr>
            </w:pPr>
            <w:proofErr w:type="gramStart"/>
            <w:r w:rsidRPr="005D23EB">
              <w:rPr>
                <w:rFonts w:ascii="Times New Roman" w:eastAsia="Times New Roman" w:hAnsi="Times New Roman" w:cs="Times New Roman"/>
                <w:b/>
                <w:bCs/>
                <w:lang w:eastAsia="tr-TR"/>
              </w:rPr>
              <w:t xml:space="preserve">Madde 7 – (5) </w:t>
            </w:r>
            <w:r w:rsidRPr="005D23EB">
              <w:rPr>
                <w:rFonts w:ascii="Times New Roman" w:hAnsi="Times New Roman" w:cs="Times New Roman"/>
              </w:rPr>
              <w:t>Mevzuata aykırı olarak Özel Tüketim Vergisiz (ÖTV’siz) satış</w:t>
            </w:r>
            <w:r w:rsidRPr="005D23EB">
              <w:rPr>
                <w:rFonts w:ascii="Times New Roman" w:hAnsi="Times New Roman" w:cs="Times New Roman"/>
                <w:b/>
                <w:strike/>
              </w:rPr>
              <w:t>lardan</w:t>
            </w:r>
            <w:r w:rsidRPr="005D23EB">
              <w:rPr>
                <w:rFonts w:ascii="Times New Roman" w:hAnsi="Times New Roman" w:cs="Times New Roman"/>
              </w:rPr>
              <w:t xml:space="preserve"> dolayı, Kanunun 20 </w:t>
            </w:r>
            <w:proofErr w:type="spellStart"/>
            <w:r w:rsidRPr="005D23EB">
              <w:rPr>
                <w:rFonts w:ascii="Times New Roman" w:hAnsi="Times New Roman" w:cs="Times New Roman"/>
              </w:rPr>
              <w:t>nci</w:t>
            </w:r>
            <w:proofErr w:type="spellEnd"/>
            <w:r w:rsidRPr="005D23EB">
              <w:rPr>
                <w:rFonts w:ascii="Times New Roman" w:hAnsi="Times New Roman" w:cs="Times New Roman"/>
              </w:rPr>
              <w:t xml:space="preserve"> maddesi</w:t>
            </w:r>
            <w:r w:rsidR="009718DD">
              <w:rPr>
                <w:rFonts w:ascii="Times New Roman" w:hAnsi="Times New Roman" w:cs="Times New Roman"/>
              </w:rPr>
              <w:t xml:space="preserve"> </w:t>
            </w:r>
            <w:bookmarkStart w:id="0" w:name="_GoBack"/>
            <w:bookmarkEnd w:id="0"/>
            <w:r w:rsidRPr="005D23EB">
              <w:rPr>
                <w:rFonts w:ascii="Times New Roman" w:hAnsi="Times New Roman" w:cs="Times New Roman"/>
              </w:rPr>
              <w:t>uyarınca lisansı iptal edilen tüzel kişiye, lisans iptaline konu fiilin işlendiği tarihte bu tüzel kişilikte doğrudan veya dolaylı yüzde ondan fazla paya sahip ortaklara, yönetim kurulu başkan ve üyeleri ile temsil ve ilzama yetkili olanlara lisans verilmez ve bu kişiler, lisans başvurusu yapan tüzel kişiliklerde doğrudan veya dolaylı pay sahibi olamaz.</w:t>
            </w:r>
            <w:proofErr w:type="gramEnd"/>
          </w:p>
        </w:tc>
        <w:tc>
          <w:tcPr>
            <w:tcW w:w="6628" w:type="dxa"/>
          </w:tcPr>
          <w:p w14:paraId="31C6410E" w14:textId="77777777" w:rsidR="00883A0C" w:rsidRPr="005D23EB" w:rsidRDefault="00883A0C"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Başvurusu</w:t>
            </w:r>
          </w:p>
          <w:p w14:paraId="1DBA7866" w14:textId="563AB4DE" w:rsidR="00883A0C" w:rsidRPr="005D23EB" w:rsidRDefault="00883A0C" w:rsidP="00FB33B5">
            <w:pPr>
              <w:jc w:val="both"/>
              <w:rPr>
                <w:rFonts w:ascii="Times New Roman" w:hAnsi="Times New Roman" w:cs="Times New Roman"/>
                <w:b/>
                <w:bCs/>
              </w:rPr>
            </w:pPr>
            <w:proofErr w:type="gramStart"/>
            <w:r w:rsidRPr="005D23EB">
              <w:rPr>
                <w:rFonts w:ascii="Times New Roman" w:eastAsia="Times New Roman" w:hAnsi="Times New Roman" w:cs="Times New Roman"/>
                <w:b/>
                <w:bCs/>
                <w:lang w:eastAsia="tr-TR"/>
              </w:rPr>
              <w:t xml:space="preserve">Madde 7 – (5) </w:t>
            </w:r>
            <w:r w:rsidR="00FB33B5" w:rsidRPr="00FB33B5">
              <w:rPr>
                <w:rFonts w:ascii="Times New Roman" w:hAnsi="Times New Roman" w:cs="Times New Roman"/>
              </w:rPr>
              <w:t>Mevzuata aykırı olarak Özel Tüketim Vergisiz (ÖTV’siz) satış</w:t>
            </w:r>
            <w:r w:rsidR="00FB33B5">
              <w:rPr>
                <w:rFonts w:ascii="Times New Roman" w:hAnsi="Times New Roman" w:cs="Times New Roman"/>
                <w:b/>
                <w:u w:val="single"/>
              </w:rPr>
              <w:t>,</w:t>
            </w:r>
            <w:r w:rsidR="00FB33B5" w:rsidRPr="00FB33B5">
              <w:rPr>
                <w:rFonts w:ascii="Times New Roman" w:hAnsi="Times New Roman" w:cs="Times New Roman"/>
                <w:b/>
                <w:u w:val="single"/>
              </w:rPr>
              <w:t xml:space="preserve"> kanuna karşı hile veya Kuruma yalan beyanda bulunulmasından</w:t>
            </w:r>
            <w:r w:rsidR="00FB33B5" w:rsidRPr="00FB33B5">
              <w:rPr>
                <w:rFonts w:ascii="Times New Roman" w:hAnsi="Times New Roman" w:cs="Times New Roman"/>
              </w:rPr>
              <w:t xml:space="preserve"> dolayı Kanunun 20 </w:t>
            </w:r>
            <w:proofErr w:type="spellStart"/>
            <w:r w:rsidR="00FB33B5" w:rsidRPr="00FB33B5">
              <w:rPr>
                <w:rFonts w:ascii="Times New Roman" w:hAnsi="Times New Roman" w:cs="Times New Roman"/>
              </w:rPr>
              <w:t>nci</w:t>
            </w:r>
            <w:proofErr w:type="spellEnd"/>
            <w:r w:rsidR="00FB33B5" w:rsidRPr="00FB33B5">
              <w:rPr>
                <w:rFonts w:ascii="Times New Roman" w:hAnsi="Times New Roman" w:cs="Times New Roman"/>
              </w:rPr>
              <w:t xml:space="preserve"> maddesi uyarınca lisansı iptal edilen tüzel kişiye, lisans iptaline konu fiilin işlendiği tarihte bu tüzel kişilikte doğrudan veya dolaylı yüzde ondan fazla paya sahip ortaklara, yönetim kurulu başkan ve üyeleri ile temsil ve ilzama yetkili olanlara </w:t>
            </w:r>
            <w:r w:rsidR="00FB33B5" w:rsidRPr="00FB33B5">
              <w:rPr>
                <w:rFonts w:ascii="Times New Roman" w:hAnsi="Times New Roman" w:cs="Times New Roman"/>
                <w:b/>
                <w:u w:val="single"/>
              </w:rPr>
              <w:t>iptale ilişkin karar tarihinden itibaren bir yıl süre ile</w:t>
            </w:r>
            <w:r w:rsidR="00FB33B5" w:rsidRPr="00FB33B5">
              <w:rPr>
                <w:rFonts w:ascii="Times New Roman" w:hAnsi="Times New Roman" w:cs="Times New Roman"/>
              </w:rPr>
              <w:t xml:space="preserve"> lisans verilmez ve bu kişiler, lisans başvurusu yapan tüzel </w:t>
            </w:r>
            <w:r w:rsidR="00FB33B5" w:rsidRPr="00FB33B5">
              <w:rPr>
                <w:rFonts w:ascii="Times New Roman" w:hAnsi="Times New Roman" w:cs="Times New Roman"/>
                <w:b/>
                <w:u w:val="single"/>
              </w:rPr>
              <w:t>kişiliklerde iptale ilişkin karar t</w:t>
            </w:r>
            <w:r w:rsidR="00FB33B5">
              <w:rPr>
                <w:rFonts w:ascii="Times New Roman" w:hAnsi="Times New Roman" w:cs="Times New Roman"/>
                <w:b/>
                <w:u w:val="single"/>
              </w:rPr>
              <w:t>arihinden itibaren bir yıl süre</w:t>
            </w:r>
            <w:r w:rsidR="00FB33B5" w:rsidRPr="00FB33B5">
              <w:rPr>
                <w:rFonts w:ascii="Times New Roman" w:hAnsi="Times New Roman" w:cs="Times New Roman"/>
                <w:b/>
                <w:u w:val="single"/>
              </w:rPr>
              <w:t xml:space="preserve"> ile </w:t>
            </w:r>
            <w:r w:rsidR="00FB33B5" w:rsidRPr="00FB33B5">
              <w:rPr>
                <w:rFonts w:ascii="Times New Roman" w:hAnsi="Times New Roman" w:cs="Times New Roman"/>
              </w:rPr>
              <w:t>doğrudan veya dolaylı pay sahibi olamaz.</w:t>
            </w:r>
            <w:proofErr w:type="gramEnd"/>
          </w:p>
        </w:tc>
      </w:tr>
      <w:tr w:rsidR="005D23EB" w:rsidRPr="005D23EB" w14:paraId="52A8F5E4" w14:textId="77777777" w:rsidTr="00D22B2C">
        <w:trPr>
          <w:trHeight w:val="843"/>
        </w:trPr>
        <w:tc>
          <w:tcPr>
            <w:tcW w:w="7366" w:type="dxa"/>
          </w:tcPr>
          <w:p w14:paraId="2A06A54A" w14:textId="77777777" w:rsidR="00F9254F"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Başvurusu</w:t>
            </w:r>
          </w:p>
          <w:p w14:paraId="5BFFD38F" w14:textId="77777777" w:rsidR="00D22B2C" w:rsidRPr="005D23EB" w:rsidRDefault="00D22B2C" w:rsidP="005D23EB">
            <w:pPr>
              <w:jc w:val="both"/>
              <w:rPr>
                <w:rFonts w:ascii="Times New Roman" w:eastAsia="Times New Roman" w:hAnsi="Times New Roman" w:cs="Times New Roman"/>
                <w:b/>
                <w:bCs/>
                <w:lang w:eastAsia="tr-TR"/>
              </w:rPr>
            </w:pPr>
            <w:proofErr w:type="gramStart"/>
            <w:r w:rsidRPr="005D23EB">
              <w:rPr>
                <w:rFonts w:ascii="Times New Roman" w:eastAsia="Times New Roman" w:hAnsi="Times New Roman" w:cs="Times New Roman"/>
                <w:b/>
                <w:bCs/>
                <w:lang w:eastAsia="tr-TR"/>
              </w:rPr>
              <w:t xml:space="preserve">Madde 7 – (7) a) </w:t>
            </w:r>
            <w:r w:rsidRPr="005D23EB">
              <w:rPr>
                <w:rFonts w:ascii="Times New Roman" w:hAnsi="Times New Roman" w:cs="Times New Roman"/>
              </w:rPr>
              <w:t xml:space="preserve">Rafinerici, iletim, depolama, işleme, dağıtıcı ve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teslimi lisansları için; başvuru sahibi tüzel kişinin; 13/1/2011 tarihli ve 6102 sayılı Türk Ticaret Kanunu hükümleri doğrultusunda anonim şirket ya da </w:t>
            </w:r>
            <w:proofErr w:type="spellStart"/>
            <w:r w:rsidRPr="005D23EB">
              <w:rPr>
                <w:rFonts w:ascii="Times New Roman" w:hAnsi="Times New Roman" w:cs="Times New Roman"/>
              </w:rPr>
              <w:t>limited</w:t>
            </w:r>
            <w:proofErr w:type="spellEnd"/>
            <w:r w:rsidRPr="005D23EB">
              <w:rPr>
                <w:rFonts w:ascii="Times New Roman" w:hAnsi="Times New Roman" w:cs="Times New Roman"/>
              </w:rPr>
              <w:t xml:space="preserve"> şirket olması ve asgari ödenmiş sermayesinin rafinerici lisansı için </w:t>
            </w:r>
            <w:r w:rsidRPr="005D23EB">
              <w:rPr>
                <w:rFonts w:ascii="Times New Roman" w:hAnsi="Times New Roman" w:cs="Times New Roman"/>
                <w:b/>
                <w:strike/>
              </w:rPr>
              <w:t>150.000.000</w:t>
            </w:r>
            <w:r w:rsidRPr="005D23EB">
              <w:rPr>
                <w:rFonts w:ascii="Times New Roman" w:hAnsi="Times New Roman" w:cs="Times New Roman"/>
                <w:b/>
              </w:rPr>
              <w:t xml:space="preserve"> </w:t>
            </w:r>
            <w:r w:rsidRPr="005D23EB">
              <w:rPr>
                <w:rFonts w:ascii="Times New Roman" w:hAnsi="Times New Roman" w:cs="Times New Roman"/>
              </w:rPr>
              <w:t xml:space="preserve">TL, iletim lisansı için 2.000.000 TL, depolama lisansı için 3.000.000 TL, işleme lisansı için 1.500.000 TL, dağıtıcı lisansı için 20.000.000 TL ve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teslimi lisansı için 6.000.000 TL olması,</w:t>
            </w:r>
            <w:proofErr w:type="gramEnd"/>
          </w:p>
        </w:tc>
        <w:tc>
          <w:tcPr>
            <w:tcW w:w="6628" w:type="dxa"/>
          </w:tcPr>
          <w:p w14:paraId="00640053" w14:textId="77777777" w:rsidR="00F9254F"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Lisans Başvurusu</w:t>
            </w:r>
          </w:p>
          <w:p w14:paraId="176D2ECC" w14:textId="77777777" w:rsidR="00D22B2C" w:rsidRPr="005D23EB" w:rsidRDefault="00F9254F" w:rsidP="005D23EB">
            <w:pPr>
              <w:jc w:val="both"/>
              <w:rPr>
                <w:rFonts w:ascii="Times New Roman" w:eastAsia="Times New Roman" w:hAnsi="Times New Roman" w:cs="Times New Roman"/>
                <w:b/>
                <w:bCs/>
                <w:lang w:eastAsia="tr-TR"/>
              </w:rPr>
            </w:pPr>
            <w:proofErr w:type="gramStart"/>
            <w:r w:rsidRPr="005D23EB">
              <w:rPr>
                <w:rFonts w:ascii="Times New Roman" w:eastAsia="Times New Roman" w:hAnsi="Times New Roman" w:cs="Times New Roman"/>
                <w:b/>
                <w:bCs/>
                <w:lang w:eastAsia="tr-TR"/>
              </w:rPr>
              <w:t xml:space="preserve">Madde 7 – (7) a) </w:t>
            </w:r>
            <w:r w:rsidRPr="005D23EB">
              <w:rPr>
                <w:rFonts w:ascii="Times New Roman" w:hAnsi="Times New Roman" w:cs="Times New Roman"/>
              </w:rPr>
              <w:t xml:space="preserve">Rafinerici, iletim, depolama, işleme, dağıtıcı ve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teslimi lisansları için; başvuru sahibi tüzel kişinin; 13/1/2011 tarihli ve 6102 sayılı Türk Ticaret Kanunu hükümleri doğrultusunda anonim şirket ya da </w:t>
            </w:r>
            <w:proofErr w:type="spellStart"/>
            <w:r w:rsidRPr="005D23EB">
              <w:rPr>
                <w:rFonts w:ascii="Times New Roman" w:hAnsi="Times New Roman" w:cs="Times New Roman"/>
              </w:rPr>
              <w:t>limited</w:t>
            </w:r>
            <w:proofErr w:type="spellEnd"/>
            <w:r w:rsidRPr="005D23EB">
              <w:rPr>
                <w:rFonts w:ascii="Times New Roman" w:hAnsi="Times New Roman" w:cs="Times New Roman"/>
              </w:rPr>
              <w:t xml:space="preserve"> şirket olması ve asgari ödenmiş sermayesinin rafinerici lisansı için </w:t>
            </w:r>
            <w:r w:rsidRPr="005D23EB">
              <w:rPr>
                <w:rFonts w:ascii="Times New Roman" w:hAnsi="Times New Roman" w:cs="Times New Roman"/>
                <w:b/>
                <w:u w:val="single"/>
              </w:rPr>
              <w:t>75.000.000</w:t>
            </w:r>
            <w:r w:rsidRPr="005D23EB">
              <w:rPr>
                <w:rFonts w:ascii="Times New Roman" w:hAnsi="Times New Roman" w:cs="Times New Roman"/>
              </w:rPr>
              <w:t xml:space="preserve"> TL, iletim lisansı için 2.000.000 TL, depolama lisansı için 3.000.000 TL, işleme lisansı için 1.500.000 TL, dağıtıcı lisansı için 20.000.000 TL ve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teslimi lisansı için 6.000.000 TL olması,</w:t>
            </w:r>
            <w:proofErr w:type="gramEnd"/>
          </w:p>
        </w:tc>
      </w:tr>
      <w:tr w:rsidR="005D23EB" w:rsidRPr="005D23EB" w14:paraId="6BF38F09" w14:textId="77777777" w:rsidTr="00D22B2C">
        <w:trPr>
          <w:trHeight w:val="843"/>
        </w:trPr>
        <w:tc>
          <w:tcPr>
            <w:tcW w:w="7366" w:type="dxa"/>
          </w:tcPr>
          <w:p w14:paraId="36EE135C" w14:textId="77777777" w:rsidR="00F9254F" w:rsidRPr="005D23EB" w:rsidRDefault="00F9254F" w:rsidP="005D23EB">
            <w:pPr>
              <w:jc w:val="both"/>
              <w:rPr>
                <w:rFonts w:ascii="Times New Roman" w:hAnsi="Times New Roman" w:cs="Times New Roman"/>
                <w:b/>
                <w:bCs/>
              </w:rPr>
            </w:pPr>
            <w:r w:rsidRPr="005D23EB">
              <w:rPr>
                <w:rFonts w:ascii="Times New Roman" w:hAnsi="Times New Roman" w:cs="Times New Roman"/>
                <w:b/>
                <w:bCs/>
              </w:rPr>
              <w:lastRenderedPageBreak/>
              <w:t xml:space="preserve">Lisans Başvurularının İnceleme ve Değerlendirmeye Alınması </w:t>
            </w:r>
          </w:p>
          <w:p w14:paraId="6669932D" w14:textId="77777777" w:rsidR="00D22B2C" w:rsidRPr="005D23EB" w:rsidRDefault="00F9254F" w:rsidP="005D23EB">
            <w:pPr>
              <w:jc w:val="both"/>
              <w:rPr>
                <w:rFonts w:ascii="Times New Roman" w:eastAsia="Times New Roman" w:hAnsi="Times New Roman" w:cs="Times New Roman"/>
                <w:b/>
                <w:bCs/>
                <w:lang w:eastAsia="tr-TR"/>
              </w:rPr>
            </w:pPr>
            <w:proofErr w:type="gramStart"/>
            <w:r w:rsidRPr="005D23EB">
              <w:rPr>
                <w:rFonts w:ascii="Times New Roman" w:eastAsia="Times New Roman" w:hAnsi="Times New Roman" w:cs="Times New Roman"/>
                <w:b/>
                <w:bCs/>
                <w:lang w:eastAsia="tr-TR"/>
              </w:rPr>
              <w:t xml:space="preserve">Madde 8 – (3) </w:t>
            </w:r>
            <w:r w:rsidRPr="005D23EB">
              <w:rPr>
                <w:rFonts w:ascii="Times New Roman" w:hAnsi="Times New Roman" w:cs="Times New Roman"/>
              </w:rPr>
              <w:t xml:space="preserve">Rafinerici ve depolama lisansı başvurularında lisans alma bedelinin yüzde birinin Kurum hesabına yatırıldığının ibraz edilmesini takiben lisans başvurusu inceleme ve değerlendirmeye alınır ve başvuruya konu yerin il, ilçe, köy, mahalle, ada, parsel, 1/25.000’lik pafta numarası ve UTM-ED50 (6˚lik) sisteme göre belirlenmiş koordinat bilgilerini de içeren bilgiler Kurum internet sayfasında duyurulur. </w:t>
            </w:r>
            <w:proofErr w:type="gramEnd"/>
            <w:r w:rsidRPr="005D23EB">
              <w:rPr>
                <w:rFonts w:ascii="Times New Roman" w:hAnsi="Times New Roman" w:cs="Times New Roman"/>
              </w:rPr>
              <w:t>Rafinerici veya depolama lisansı başvurusuna ilişkin yapılan duyurunun süresi tamamlandıktan sonra, duyuru konusu yerde elektrik piyasasında üretim, doğal gaz piyasasında depolama, piyasada başka bir rafinerici veya depolama faaliyetinde bulunmak üzere yapılan lisans başvuruları iade edilir veya reddedilir.</w:t>
            </w:r>
          </w:p>
        </w:tc>
        <w:tc>
          <w:tcPr>
            <w:tcW w:w="6628" w:type="dxa"/>
          </w:tcPr>
          <w:p w14:paraId="7B400E9E" w14:textId="77777777" w:rsidR="00F9254F" w:rsidRPr="005D23EB" w:rsidRDefault="00F9254F" w:rsidP="005D23EB">
            <w:pPr>
              <w:jc w:val="both"/>
              <w:rPr>
                <w:rFonts w:ascii="Times New Roman" w:hAnsi="Times New Roman" w:cs="Times New Roman"/>
                <w:b/>
                <w:bCs/>
              </w:rPr>
            </w:pPr>
            <w:r w:rsidRPr="005D23EB">
              <w:rPr>
                <w:rFonts w:ascii="Times New Roman" w:hAnsi="Times New Roman" w:cs="Times New Roman"/>
                <w:b/>
                <w:bCs/>
              </w:rPr>
              <w:t xml:space="preserve">Lisans Başvurularının İnceleme ve Değerlendirmeye Alınması </w:t>
            </w:r>
          </w:p>
          <w:p w14:paraId="637DCB77" w14:textId="77777777" w:rsidR="00D22B2C" w:rsidRPr="005D23EB" w:rsidRDefault="00F9254F" w:rsidP="005D23EB">
            <w:pPr>
              <w:jc w:val="both"/>
              <w:rPr>
                <w:rFonts w:ascii="Times New Roman" w:eastAsia="Times New Roman" w:hAnsi="Times New Roman" w:cs="Times New Roman"/>
                <w:b/>
                <w:bCs/>
                <w:lang w:eastAsia="tr-TR"/>
              </w:rPr>
            </w:pPr>
            <w:proofErr w:type="gramStart"/>
            <w:r w:rsidRPr="005D23EB">
              <w:rPr>
                <w:rFonts w:ascii="Times New Roman" w:eastAsia="Times New Roman" w:hAnsi="Times New Roman" w:cs="Times New Roman"/>
                <w:b/>
                <w:bCs/>
                <w:lang w:eastAsia="tr-TR"/>
              </w:rPr>
              <w:t xml:space="preserve">Madde 8 – (3) </w:t>
            </w:r>
            <w:r w:rsidRPr="005D23EB">
              <w:rPr>
                <w:rFonts w:ascii="Times New Roman" w:hAnsi="Times New Roman" w:cs="Times New Roman"/>
                <w:b/>
                <w:u w:val="single"/>
              </w:rPr>
              <w:t xml:space="preserve">Tesis kurulmak üzere yapılan </w:t>
            </w:r>
            <w:r w:rsidRPr="005D23EB">
              <w:rPr>
                <w:rFonts w:ascii="Times New Roman" w:hAnsi="Times New Roman" w:cs="Times New Roman"/>
              </w:rPr>
              <w:t xml:space="preserve">rafinerici ve depolama lisansı başvurularında lisans alma bedelinin yüzde birinin Kurum hesabına yatırıldığının ibraz edilmesini takiben lisans başvurusu inceleme ve değerlendirmeye alınır ve başvuruya konu yerin il, ilçe, köy, mahalle, ada, parsel, 1/25.000’lik pafta numarası ve UTM-ED50 (6˚lik) sisteme göre belirlenmiş koordinat bilgilerini de içeren bilgiler Kurum internet sayfasında duyurulur. </w:t>
            </w:r>
            <w:proofErr w:type="gramEnd"/>
            <w:r w:rsidRPr="005D23EB">
              <w:rPr>
                <w:rFonts w:ascii="Times New Roman" w:hAnsi="Times New Roman" w:cs="Times New Roman"/>
              </w:rPr>
              <w:t>Rafinerici veya depolama lisansı başvurusuna ilişkin yapılan duyurunun süresi tamamlandıktan sonra, duyuru konusu yerde elektrik piyasasında üretim, doğal gaz piyasasında depolama, piyasada başka bir rafinerici veya depolama faaliyetinde bulunmak üzere yapılan lisans başvuruları iade edilir veya reddedilir.</w:t>
            </w:r>
          </w:p>
        </w:tc>
      </w:tr>
      <w:tr w:rsidR="005D23EB" w:rsidRPr="005D23EB" w14:paraId="6F9C4767" w14:textId="77777777" w:rsidTr="00D22B2C">
        <w:trPr>
          <w:trHeight w:val="843"/>
        </w:trPr>
        <w:tc>
          <w:tcPr>
            <w:tcW w:w="7366" w:type="dxa"/>
          </w:tcPr>
          <w:p w14:paraId="79C3414E" w14:textId="77777777" w:rsidR="00F9254F" w:rsidRPr="005D23EB" w:rsidRDefault="00F9254F" w:rsidP="005D23EB">
            <w:pPr>
              <w:jc w:val="both"/>
              <w:rPr>
                <w:rFonts w:ascii="Times New Roman" w:hAnsi="Times New Roman" w:cs="Times New Roman"/>
                <w:b/>
                <w:bCs/>
              </w:rPr>
            </w:pPr>
            <w:r w:rsidRPr="005D23EB">
              <w:rPr>
                <w:rFonts w:ascii="Times New Roman" w:hAnsi="Times New Roman" w:cs="Times New Roman"/>
                <w:b/>
                <w:bCs/>
              </w:rPr>
              <w:t xml:space="preserve">İnceleme ve Değerlendirmenin Sonuçlandırılması </w:t>
            </w:r>
          </w:p>
          <w:p w14:paraId="52AD430C" w14:textId="77777777" w:rsidR="00F9254F" w:rsidRPr="005D23EB" w:rsidRDefault="00F9254F" w:rsidP="005D23EB">
            <w:pPr>
              <w:jc w:val="both"/>
              <w:rPr>
                <w:rFonts w:ascii="Times New Roman" w:hAnsi="Times New Roman" w:cs="Times New Roman"/>
              </w:rPr>
            </w:pPr>
            <w:r w:rsidRPr="005D23EB">
              <w:rPr>
                <w:rFonts w:ascii="Times New Roman" w:hAnsi="Times New Roman" w:cs="Times New Roman"/>
                <w:b/>
                <w:bCs/>
              </w:rPr>
              <w:t xml:space="preserve">Madde 10 – (6) </w:t>
            </w:r>
            <w:r w:rsidRPr="005D23EB">
              <w:rPr>
                <w:rFonts w:ascii="Times New Roman" w:hAnsi="Times New Roman" w:cs="Times New Roman"/>
              </w:rPr>
              <w:t xml:space="preserve">Rafinerici, iletim, depolama, işleme, madeni yağ, dağıtıcı ve </w:t>
            </w:r>
            <w:proofErr w:type="spellStart"/>
            <w:r w:rsidRPr="005D23EB">
              <w:rPr>
                <w:rFonts w:ascii="Times New Roman" w:hAnsi="Times New Roman" w:cs="Times New Roman"/>
              </w:rPr>
              <w:t>ihrakiye</w:t>
            </w:r>
            <w:proofErr w:type="spellEnd"/>
            <w:r w:rsidRPr="005D23EB">
              <w:rPr>
                <w:rFonts w:ascii="Times New Roman" w:hAnsi="Times New Roman" w:cs="Times New Roman"/>
              </w:rPr>
              <w:t xml:space="preserve"> teslimi lisanslarıyla sınırlı olmak üzere, lisans sahibinin adı/ticaret unvanı ile aldığı lisans türü ve süresi Resmî </w:t>
            </w:r>
            <w:proofErr w:type="spellStart"/>
            <w:r w:rsidRPr="005D23EB">
              <w:rPr>
                <w:rFonts w:ascii="Times New Roman" w:hAnsi="Times New Roman" w:cs="Times New Roman"/>
              </w:rPr>
              <w:t>Gazete’de</w:t>
            </w:r>
            <w:proofErr w:type="spellEnd"/>
            <w:r w:rsidRPr="005D23EB">
              <w:rPr>
                <w:rFonts w:ascii="Times New Roman" w:hAnsi="Times New Roman" w:cs="Times New Roman"/>
              </w:rPr>
              <w:t xml:space="preserve"> yayımlanır.</w:t>
            </w:r>
          </w:p>
        </w:tc>
        <w:tc>
          <w:tcPr>
            <w:tcW w:w="6628" w:type="dxa"/>
          </w:tcPr>
          <w:p w14:paraId="5BF20AFC" w14:textId="77777777" w:rsidR="00D22B2C" w:rsidRPr="005D23EB" w:rsidRDefault="00F9254F" w:rsidP="005D23EB">
            <w:pPr>
              <w:jc w:val="both"/>
              <w:rPr>
                <w:rFonts w:ascii="Times New Roman" w:eastAsia="Times New Roman" w:hAnsi="Times New Roman" w:cs="Times New Roman"/>
                <w:b/>
                <w:bCs/>
                <w:lang w:eastAsia="tr-TR"/>
              </w:rPr>
            </w:pPr>
            <w:r w:rsidRPr="005D23EB">
              <w:rPr>
                <w:rFonts w:ascii="Times New Roman" w:eastAsia="Times New Roman" w:hAnsi="Times New Roman" w:cs="Times New Roman"/>
                <w:b/>
                <w:bCs/>
                <w:lang w:eastAsia="tr-TR"/>
              </w:rPr>
              <w:t>Kaldırılmıştır.</w:t>
            </w:r>
          </w:p>
        </w:tc>
      </w:tr>
      <w:tr w:rsidR="005D23EB" w:rsidRPr="005D23EB" w14:paraId="35C551E5" w14:textId="77777777" w:rsidTr="00D22B2C">
        <w:trPr>
          <w:trHeight w:val="843"/>
        </w:trPr>
        <w:tc>
          <w:tcPr>
            <w:tcW w:w="7366" w:type="dxa"/>
          </w:tcPr>
          <w:p w14:paraId="596C1CCC" w14:textId="77777777" w:rsidR="00F9254F" w:rsidRPr="00F9254F" w:rsidRDefault="00F9254F"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t xml:space="preserve">Süre Uzatımı </w:t>
            </w:r>
          </w:p>
          <w:p w14:paraId="2399AAFB" w14:textId="77777777" w:rsidR="00D22B2C"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 xml:space="preserve">Madde 16- (6) </w:t>
            </w:r>
            <w:r w:rsidRPr="005D23EB">
              <w:rPr>
                <w:rFonts w:ascii="Times New Roman" w:hAnsi="Times New Roman" w:cs="Times New Roman"/>
              </w:rPr>
              <w:t xml:space="preserve">Süre uzatımı hakkındaki Kurul kararı, yürürlüğe girmesini müteakip Resmi </w:t>
            </w:r>
            <w:proofErr w:type="spellStart"/>
            <w:r w:rsidRPr="005D23EB">
              <w:rPr>
                <w:rFonts w:ascii="Times New Roman" w:hAnsi="Times New Roman" w:cs="Times New Roman"/>
              </w:rPr>
              <w:t>Gazete’de</w:t>
            </w:r>
            <w:proofErr w:type="spellEnd"/>
            <w:r w:rsidRPr="005D23EB">
              <w:rPr>
                <w:rFonts w:ascii="Times New Roman" w:hAnsi="Times New Roman" w:cs="Times New Roman"/>
              </w:rPr>
              <w:t xml:space="preserve"> yayımlanır.</w:t>
            </w:r>
          </w:p>
        </w:tc>
        <w:tc>
          <w:tcPr>
            <w:tcW w:w="6628" w:type="dxa"/>
          </w:tcPr>
          <w:p w14:paraId="59413619" w14:textId="77777777" w:rsidR="00D22B2C" w:rsidRPr="005D23EB" w:rsidRDefault="00F9254F" w:rsidP="005D23EB">
            <w:pPr>
              <w:jc w:val="both"/>
              <w:rPr>
                <w:rFonts w:ascii="Times New Roman" w:eastAsia="Times New Roman" w:hAnsi="Times New Roman" w:cs="Times New Roman"/>
                <w:b/>
                <w:bCs/>
                <w:lang w:eastAsia="tr-TR"/>
              </w:rPr>
            </w:pPr>
            <w:r w:rsidRPr="005D23EB">
              <w:rPr>
                <w:rFonts w:ascii="Times New Roman" w:eastAsia="Times New Roman" w:hAnsi="Times New Roman" w:cs="Times New Roman"/>
                <w:b/>
                <w:bCs/>
                <w:lang w:eastAsia="tr-TR"/>
              </w:rPr>
              <w:t>Kaldırılmıştır.</w:t>
            </w:r>
          </w:p>
        </w:tc>
      </w:tr>
      <w:tr w:rsidR="005D23EB" w:rsidRPr="005D23EB" w14:paraId="77C19DB2" w14:textId="77777777" w:rsidTr="00D22B2C">
        <w:trPr>
          <w:trHeight w:val="843"/>
        </w:trPr>
        <w:tc>
          <w:tcPr>
            <w:tcW w:w="7366" w:type="dxa"/>
          </w:tcPr>
          <w:p w14:paraId="6DE39ED9" w14:textId="77777777" w:rsidR="00F9254F" w:rsidRPr="00F9254F" w:rsidRDefault="00F9254F"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t xml:space="preserve">Lisansların Sona Ermesi ve İptali </w:t>
            </w:r>
          </w:p>
          <w:p w14:paraId="5051D0CF" w14:textId="77777777" w:rsidR="00D22B2C"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 xml:space="preserve">MADDE 17 – (1) d) </w:t>
            </w:r>
            <w:r w:rsidRPr="005D23EB">
              <w:rPr>
                <w:rFonts w:ascii="Times New Roman" w:eastAsia="Times New Roman" w:hAnsi="Times New Roman" w:cs="Times New Roman"/>
                <w:bCs/>
                <w:lang w:eastAsia="tr-TR"/>
              </w:rPr>
              <w:t xml:space="preserve">Bayilik lisanslarında, bayilik sözleşmesinin herhangi bir nedenle sona ermesinden veya lisansa kayıtlı dağıtım şirketine ait dağıtıcı lisansının iptali veya sona ermesinden itibaren </w:t>
            </w:r>
            <w:r w:rsidRPr="005D23EB">
              <w:rPr>
                <w:rFonts w:ascii="Times New Roman" w:eastAsia="Times New Roman" w:hAnsi="Times New Roman" w:cs="Times New Roman"/>
                <w:b/>
                <w:bCs/>
                <w:strike/>
                <w:lang w:eastAsia="tr-TR"/>
              </w:rPr>
              <w:t>altmış</w:t>
            </w:r>
            <w:r w:rsidRPr="005D23EB">
              <w:rPr>
                <w:rFonts w:ascii="Times New Roman" w:eastAsia="Times New Roman" w:hAnsi="Times New Roman" w:cs="Times New Roman"/>
                <w:bCs/>
                <w:lang w:eastAsia="tr-TR"/>
              </w:rPr>
              <w:t xml:space="preserve"> gün içerisinde dağıtıcı tadili başvurusu yapılmaması veya Kuruma yeni bayilik sözleşmesi ibraz edilmemesi halinde,</w:t>
            </w:r>
          </w:p>
        </w:tc>
        <w:tc>
          <w:tcPr>
            <w:tcW w:w="6628" w:type="dxa"/>
          </w:tcPr>
          <w:p w14:paraId="6DC47747" w14:textId="77777777" w:rsidR="00F9254F" w:rsidRPr="00F9254F" w:rsidRDefault="00F9254F"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t xml:space="preserve">Lisansların Sona Ermesi ve İptali </w:t>
            </w:r>
          </w:p>
          <w:p w14:paraId="2520D615" w14:textId="77777777" w:rsidR="00D22B2C" w:rsidRPr="005D23EB" w:rsidRDefault="00F9254F" w:rsidP="005D23EB">
            <w:pPr>
              <w:jc w:val="both"/>
              <w:rPr>
                <w:rFonts w:ascii="Times New Roman" w:eastAsia="Times New Roman" w:hAnsi="Times New Roman" w:cs="Times New Roman"/>
                <w:b/>
                <w:bCs/>
                <w:lang w:eastAsia="tr-TR"/>
              </w:rPr>
            </w:pPr>
            <w:r w:rsidRPr="005D23EB">
              <w:rPr>
                <w:rFonts w:ascii="Times New Roman" w:hAnsi="Times New Roman" w:cs="Times New Roman"/>
                <w:b/>
                <w:bCs/>
              </w:rPr>
              <w:t xml:space="preserve">MADDE 17 – (1) d) </w:t>
            </w:r>
            <w:r w:rsidRPr="005D23EB">
              <w:rPr>
                <w:rFonts w:ascii="Times New Roman" w:eastAsia="Times New Roman" w:hAnsi="Times New Roman" w:cs="Times New Roman"/>
                <w:bCs/>
                <w:lang w:eastAsia="tr-TR"/>
              </w:rPr>
              <w:t xml:space="preserve">Bayilik lisanslarında, bayilik sözleşmesinin herhangi bir nedenle sona ermesinden veya lisansa kayıtlı dağıtım şirketine ait dağıtıcı lisansının iptali veya sona ermesinden itibaren </w:t>
            </w:r>
            <w:r w:rsidRPr="005D23EB">
              <w:rPr>
                <w:rFonts w:ascii="Times New Roman" w:eastAsia="Times New Roman" w:hAnsi="Times New Roman" w:cs="Times New Roman"/>
                <w:b/>
                <w:bCs/>
                <w:u w:val="single"/>
                <w:lang w:eastAsia="tr-TR"/>
              </w:rPr>
              <w:t>otuz</w:t>
            </w:r>
            <w:r w:rsidRPr="005D23EB">
              <w:rPr>
                <w:rFonts w:ascii="Times New Roman" w:eastAsia="Times New Roman" w:hAnsi="Times New Roman" w:cs="Times New Roman"/>
                <w:bCs/>
                <w:lang w:eastAsia="tr-TR"/>
              </w:rPr>
              <w:t xml:space="preserve"> gün içerisinde dağıtıcı tadili başvurusu yapılmaması veya Kuruma yeni bayilik sözleşmesi ibraz edilmemesi halinde,</w:t>
            </w:r>
          </w:p>
        </w:tc>
      </w:tr>
      <w:tr w:rsidR="005D23EB" w:rsidRPr="005D23EB" w14:paraId="4706C1A9" w14:textId="77777777" w:rsidTr="00D22B2C">
        <w:trPr>
          <w:trHeight w:val="843"/>
        </w:trPr>
        <w:tc>
          <w:tcPr>
            <w:tcW w:w="7366" w:type="dxa"/>
          </w:tcPr>
          <w:p w14:paraId="59CBAD19" w14:textId="77777777" w:rsidR="00883A0C" w:rsidRPr="00F9254F" w:rsidRDefault="00883A0C"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t xml:space="preserve">Lisansların Sona Ermesi ve İptali </w:t>
            </w:r>
          </w:p>
          <w:p w14:paraId="75BC8699" w14:textId="77777777" w:rsidR="00F9254F" w:rsidRPr="005D23EB" w:rsidRDefault="00883A0C"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17 – (1) e) </w:t>
            </w:r>
            <w:r w:rsidRPr="00FB33B5">
              <w:rPr>
                <w:rFonts w:ascii="Times New Roman" w:hAnsi="Times New Roman" w:cs="Times New Roman"/>
              </w:rPr>
              <w:t xml:space="preserve">Lisans başvurusu kapsamında aranan işyeri açma ve çalışma ruhsatı hariç bir belgenin geçerliliğini sonradan yitirdiğinin anlaşılması üzerine, durumun lisans sahibine bildirilerek tebligatı izleyen </w:t>
            </w:r>
            <w:proofErr w:type="spellStart"/>
            <w:r w:rsidRPr="00FB33B5">
              <w:rPr>
                <w:rFonts w:ascii="Times New Roman" w:hAnsi="Times New Roman" w:cs="Times New Roman"/>
              </w:rPr>
              <w:t>onbeş</w:t>
            </w:r>
            <w:proofErr w:type="spellEnd"/>
            <w:r w:rsidRPr="00FB33B5">
              <w:rPr>
                <w:rFonts w:ascii="Times New Roman" w:hAnsi="Times New Roman" w:cs="Times New Roman"/>
              </w:rPr>
              <w:t xml:space="preserve"> gün içerisinde geçerli belgenin Kuruma ibrazının istenmesine rağmen, bu sürenin sonuna kadar geçerli belgenin Kuruma ibraz edilmemesi halinde,</w:t>
            </w:r>
          </w:p>
        </w:tc>
        <w:tc>
          <w:tcPr>
            <w:tcW w:w="6628" w:type="dxa"/>
          </w:tcPr>
          <w:p w14:paraId="5C8498B6" w14:textId="77777777" w:rsidR="00883A0C" w:rsidRPr="00F9254F" w:rsidRDefault="00883A0C"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t xml:space="preserve">Lisansların Sona Ermesi ve İptali </w:t>
            </w:r>
          </w:p>
          <w:p w14:paraId="65E36524" w14:textId="05809312" w:rsidR="00883A0C" w:rsidRPr="005D23EB" w:rsidRDefault="00883A0C" w:rsidP="005D23EB">
            <w:pPr>
              <w:jc w:val="both"/>
              <w:rPr>
                <w:rFonts w:ascii="Times New Roman" w:hAnsi="Times New Roman" w:cs="Times New Roman"/>
                <w:lang w:eastAsia="tr-TR"/>
              </w:rPr>
            </w:pPr>
            <w:r w:rsidRPr="005D23EB">
              <w:rPr>
                <w:rFonts w:ascii="Times New Roman" w:hAnsi="Times New Roman" w:cs="Times New Roman"/>
                <w:b/>
                <w:bCs/>
              </w:rPr>
              <w:t xml:space="preserve">MADDE 17 – (1) e) </w:t>
            </w:r>
            <w:r w:rsidRPr="00FB33B5">
              <w:rPr>
                <w:rFonts w:ascii="Times New Roman" w:hAnsi="Times New Roman" w:cs="Times New Roman"/>
              </w:rPr>
              <w:t>Lisans başvurusu kapsamında aranan işyeri açma ve çalışma ruhsatı hariç</w:t>
            </w:r>
            <w:r w:rsidRPr="00FB33B5">
              <w:rPr>
                <w:rFonts w:ascii="Times New Roman" w:hAnsi="Times New Roman" w:cs="Times New Roman"/>
                <w:b/>
                <w:u w:val="single"/>
              </w:rPr>
              <w:t xml:space="preserve"> lisans alma koşullarından herhangi birinin kaybedilmesi halinde,</w:t>
            </w:r>
            <w:r w:rsidRPr="00FB33B5">
              <w:rPr>
                <w:rFonts w:ascii="Times New Roman" w:hAnsi="Times New Roman" w:cs="Times New Roman"/>
              </w:rPr>
              <w:t xml:space="preserve"> durumun lisans sahibine bildirilerek tebligatı izleyen </w:t>
            </w:r>
            <w:proofErr w:type="spellStart"/>
            <w:r w:rsidRPr="00FB33B5">
              <w:rPr>
                <w:rFonts w:ascii="Times New Roman" w:hAnsi="Times New Roman" w:cs="Times New Roman"/>
              </w:rPr>
              <w:t>onbeş</w:t>
            </w:r>
            <w:proofErr w:type="spellEnd"/>
            <w:r w:rsidRPr="00FB33B5">
              <w:rPr>
                <w:rFonts w:ascii="Times New Roman" w:hAnsi="Times New Roman" w:cs="Times New Roman"/>
              </w:rPr>
              <w:t xml:space="preserve"> gün içerisinde </w:t>
            </w:r>
            <w:r w:rsidRPr="005D23EB">
              <w:rPr>
                <w:rFonts w:ascii="Times New Roman" w:hAnsi="Times New Roman" w:cs="Times New Roman"/>
                <w:b/>
                <w:u w:val="single"/>
              </w:rPr>
              <w:t>koşulun tekrar sağlandığına ilişkin belgenin</w:t>
            </w:r>
            <w:r w:rsidRPr="005D23EB">
              <w:rPr>
                <w:rFonts w:ascii="Times New Roman" w:hAnsi="Times New Roman" w:cs="Times New Roman"/>
              </w:rPr>
              <w:t xml:space="preserve"> </w:t>
            </w:r>
            <w:r w:rsidRPr="00FB33B5">
              <w:rPr>
                <w:rFonts w:ascii="Times New Roman" w:hAnsi="Times New Roman" w:cs="Times New Roman"/>
              </w:rPr>
              <w:t>Kuruma ibrazının istenmesine rağmen, bu sürenin sonuna kadar geçerli belgenin</w:t>
            </w:r>
            <w:r w:rsidRPr="005D23EB">
              <w:rPr>
                <w:rStyle w:val="AklamaBavurusu"/>
                <w:rFonts w:ascii="Times New Roman" w:hAnsi="Times New Roman" w:cs="Times New Roman"/>
                <w:sz w:val="22"/>
                <w:szCs w:val="22"/>
              </w:rPr>
              <w:t xml:space="preserve"> K</w:t>
            </w:r>
            <w:r w:rsidRPr="00FB33B5">
              <w:rPr>
                <w:rFonts w:ascii="Times New Roman" w:hAnsi="Times New Roman" w:cs="Times New Roman"/>
              </w:rPr>
              <w:t>uruma ibraz edilmemesi halinde,</w:t>
            </w:r>
            <w:r w:rsidRPr="005D23EB">
              <w:rPr>
                <w:rFonts w:ascii="Times New Roman" w:hAnsi="Times New Roman" w:cs="Times New Roman"/>
                <w:lang w:eastAsia="tr-TR"/>
              </w:rPr>
              <w:t xml:space="preserve"> </w:t>
            </w:r>
          </w:p>
          <w:p w14:paraId="5FAC0CEA" w14:textId="77777777" w:rsidR="00883A0C" w:rsidRPr="005D23EB" w:rsidRDefault="00883A0C" w:rsidP="005D23EB">
            <w:pPr>
              <w:jc w:val="both"/>
              <w:rPr>
                <w:rFonts w:ascii="Times New Roman" w:hAnsi="Times New Roman" w:cs="Times New Roman"/>
                <w:lang w:eastAsia="tr-TR"/>
              </w:rPr>
            </w:pPr>
          </w:p>
          <w:p w14:paraId="667849FE" w14:textId="77777777" w:rsidR="00883A0C" w:rsidRPr="005D23EB" w:rsidRDefault="00883A0C" w:rsidP="005D23EB">
            <w:pPr>
              <w:jc w:val="both"/>
              <w:rPr>
                <w:rFonts w:ascii="Times New Roman" w:hAnsi="Times New Roman" w:cs="Times New Roman"/>
              </w:rPr>
            </w:pPr>
          </w:p>
          <w:p w14:paraId="2FBB7F13" w14:textId="77777777" w:rsidR="00F9254F" w:rsidRPr="005D23EB" w:rsidRDefault="00883A0C" w:rsidP="005D23EB">
            <w:pPr>
              <w:tabs>
                <w:tab w:val="left" w:pos="1290"/>
              </w:tabs>
              <w:jc w:val="both"/>
              <w:rPr>
                <w:rFonts w:ascii="Times New Roman" w:hAnsi="Times New Roman" w:cs="Times New Roman"/>
              </w:rPr>
            </w:pPr>
            <w:r w:rsidRPr="005D23EB">
              <w:rPr>
                <w:rFonts w:ascii="Times New Roman" w:hAnsi="Times New Roman" w:cs="Times New Roman"/>
              </w:rPr>
              <w:tab/>
            </w:r>
          </w:p>
        </w:tc>
      </w:tr>
      <w:tr w:rsidR="005D23EB" w:rsidRPr="005D23EB" w14:paraId="5DBD52FA" w14:textId="77777777" w:rsidTr="00D22B2C">
        <w:trPr>
          <w:trHeight w:val="843"/>
        </w:trPr>
        <w:tc>
          <w:tcPr>
            <w:tcW w:w="7366" w:type="dxa"/>
          </w:tcPr>
          <w:p w14:paraId="69404E5A" w14:textId="77777777" w:rsidR="00E47E2D" w:rsidRPr="00F9254F" w:rsidRDefault="00E47E2D"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lastRenderedPageBreak/>
              <w:t xml:space="preserve">Lisansların Sona Ermesi ve İptali </w:t>
            </w:r>
          </w:p>
          <w:p w14:paraId="630ACA5B" w14:textId="77777777" w:rsidR="00883A0C"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17 – (1) g) </w:t>
            </w:r>
            <w:r w:rsidRPr="005D23EB">
              <w:rPr>
                <w:rFonts w:ascii="Times New Roman" w:hAnsi="Times New Roman" w:cs="Times New Roman"/>
              </w:rPr>
              <w:t>Bayilik faaliyeti kapsamında haklı ve mücbir sebepler hariç altı aydan uzun süreli satış yapılmaması halinde,</w:t>
            </w:r>
          </w:p>
        </w:tc>
        <w:tc>
          <w:tcPr>
            <w:tcW w:w="6628" w:type="dxa"/>
          </w:tcPr>
          <w:p w14:paraId="3001E1F9" w14:textId="77777777" w:rsidR="00E47E2D" w:rsidRPr="00F9254F" w:rsidRDefault="00E47E2D" w:rsidP="005D23EB">
            <w:pPr>
              <w:autoSpaceDE w:val="0"/>
              <w:autoSpaceDN w:val="0"/>
              <w:adjustRightInd w:val="0"/>
              <w:jc w:val="both"/>
              <w:rPr>
                <w:rFonts w:ascii="Times New Roman" w:hAnsi="Times New Roman" w:cs="Times New Roman"/>
              </w:rPr>
            </w:pPr>
            <w:r w:rsidRPr="00F9254F">
              <w:rPr>
                <w:rFonts w:ascii="Times New Roman" w:hAnsi="Times New Roman" w:cs="Times New Roman"/>
                <w:b/>
                <w:bCs/>
              </w:rPr>
              <w:t xml:space="preserve">Lisansların Sona Ermesi ve İptali </w:t>
            </w:r>
          </w:p>
          <w:p w14:paraId="5346C9EC" w14:textId="77777777" w:rsidR="00883A0C"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17 – (1) g) </w:t>
            </w:r>
            <w:r w:rsidRPr="005D23EB">
              <w:rPr>
                <w:rFonts w:ascii="Times New Roman" w:hAnsi="Times New Roman" w:cs="Times New Roman"/>
              </w:rPr>
              <w:t xml:space="preserve">Bayilik faaliyeti kapsamında haklı ve mücbir sebepler hariç altı aydan uzun süreli </w:t>
            </w:r>
            <w:r w:rsidRPr="005D23EB">
              <w:rPr>
                <w:rFonts w:ascii="Times New Roman" w:hAnsi="Times New Roman" w:cs="Times New Roman"/>
                <w:b/>
                <w:u w:val="single"/>
              </w:rPr>
              <w:t>pompadan satış</w:t>
            </w:r>
            <w:r w:rsidRPr="005D23EB">
              <w:rPr>
                <w:rFonts w:ascii="Times New Roman" w:hAnsi="Times New Roman" w:cs="Times New Roman"/>
              </w:rPr>
              <w:t xml:space="preserve"> yapılmaması halinde,</w:t>
            </w:r>
          </w:p>
        </w:tc>
      </w:tr>
      <w:tr w:rsidR="005D23EB" w:rsidRPr="005D23EB" w14:paraId="2E6776E8" w14:textId="77777777" w:rsidTr="00D22B2C">
        <w:trPr>
          <w:trHeight w:val="843"/>
        </w:trPr>
        <w:tc>
          <w:tcPr>
            <w:tcW w:w="7366" w:type="dxa"/>
          </w:tcPr>
          <w:p w14:paraId="43251E68" w14:textId="77777777" w:rsidR="00E47E2D" w:rsidRPr="00E47E2D" w:rsidRDefault="00E47E2D" w:rsidP="005D23EB">
            <w:pPr>
              <w:autoSpaceDE w:val="0"/>
              <w:autoSpaceDN w:val="0"/>
              <w:adjustRightInd w:val="0"/>
              <w:jc w:val="both"/>
              <w:rPr>
                <w:rFonts w:ascii="Times New Roman" w:hAnsi="Times New Roman" w:cs="Times New Roman"/>
              </w:rPr>
            </w:pPr>
            <w:r w:rsidRPr="00E47E2D">
              <w:rPr>
                <w:rFonts w:ascii="Times New Roman" w:hAnsi="Times New Roman" w:cs="Times New Roman"/>
                <w:b/>
                <w:bCs/>
              </w:rPr>
              <w:t xml:space="preserve">Lisans Sahiplerinin Temel Hak ve Yükümlülükleri </w:t>
            </w:r>
          </w:p>
          <w:p w14:paraId="020C509B" w14:textId="77777777" w:rsidR="00883A0C"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18- (4) </w:t>
            </w:r>
            <w:r w:rsidRPr="005D23EB">
              <w:rPr>
                <w:rFonts w:ascii="Times New Roman" w:eastAsia="Times New Roman" w:hAnsi="Times New Roman" w:cs="Times New Roman"/>
                <w:b/>
                <w:strike/>
                <w:lang w:eastAsia="tr-TR"/>
              </w:rPr>
              <w:t xml:space="preserve">Bayilik lisansına kayıtlı dağıtım şirketinin değişmesi de </w:t>
            </w:r>
            <w:proofErr w:type="gramStart"/>
            <w:r w:rsidRPr="005D23EB">
              <w:rPr>
                <w:rFonts w:ascii="Times New Roman" w:eastAsia="Times New Roman" w:hAnsi="Times New Roman" w:cs="Times New Roman"/>
                <w:b/>
                <w:strike/>
                <w:lang w:eastAsia="tr-TR"/>
              </w:rPr>
              <w:t>dahil</w:t>
            </w:r>
            <w:proofErr w:type="gramEnd"/>
            <w:r w:rsidRPr="005D23EB">
              <w:rPr>
                <w:rFonts w:ascii="Times New Roman" w:eastAsia="Times New Roman" w:hAnsi="Times New Roman" w:cs="Times New Roman"/>
                <w:b/>
                <w:strike/>
                <w:lang w:eastAsia="tr-TR"/>
              </w:rPr>
              <w:t xml:space="preserve"> olmak üzere</w:t>
            </w:r>
            <w:r w:rsidRPr="005D23EB">
              <w:rPr>
                <w:rFonts w:ascii="Times New Roman" w:eastAsia="Times New Roman" w:hAnsi="Times New Roman" w:cs="Times New Roman"/>
                <w:lang w:eastAsia="tr-TR"/>
              </w:rPr>
              <w:t xml:space="preserve"> lisansa kayıtlı bir bilginin değişmesi veya lisansa bilgi eklenmesinin veya lisanstan bilgi çıkarılmasının gerekmesi halinde, bu durumun vuku bulmasından veya lisans sahibi tarafından öğrenilmesinden itibaren en geç altmış gün içerisinde, lisans sahibi gerekli tüm bilgi ve belgelerle birlikte Kuruma başvuruda bulunarak lisansının tadilini talep etmek zorundadır.</w:t>
            </w:r>
          </w:p>
        </w:tc>
        <w:tc>
          <w:tcPr>
            <w:tcW w:w="6628" w:type="dxa"/>
          </w:tcPr>
          <w:p w14:paraId="2D7CEF1A" w14:textId="77777777" w:rsidR="00E47E2D" w:rsidRPr="00E47E2D" w:rsidRDefault="00E47E2D" w:rsidP="005D23EB">
            <w:pPr>
              <w:autoSpaceDE w:val="0"/>
              <w:autoSpaceDN w:val="0"/>
              <w:adjustRightInd w:val="0"/>
              <w:jc w:val="both"/>
              <w:rPr>
                <w:rFonts w:ascii="Times New Roman" w:hAnsi="Times New Roman" w:cs="Times New Roman"/>
              </w:rPr>
            </w:pPr>
            <w:r w:rsidRPr="00E47E2D">
              <w:rPr>
                <w:rFonts w:ascii="Times New Roman" w:hAnsi="Times New Roman" w:cs="Times New Roman"/>
                <w:b/>
                <w:bCs/>
              </w:rPr>
              <w:t xml:space="preserve">Lisans Sahiplerinin Temel Hak ve Yükümlülükleri </w:t>
            </w:r>
          </w:p>
          <w:p w14:paraId="2CED730B" w14:textId="77777777" w:rsidR="00E47E2D"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18- (4) </w:t>
            </w:r>
            <w:r w:rsidRPr="005D23EB">
              <w:rPr>
                <w:rFonts w:ascii="Times New Roman" w:eastAsia="Times New Roman" w:hAnsi="Times New Roman" w:cs="Times New Roman"/>
                <w:lang w:eastAsia="tr-TR"/>
              </w:rPr>
              <w:t xml:space="preserve">Lisansa kayıtlı bir bilginin değişmesi veya lisansa bilgi eklenmesinin veya lisanstan bilgi çıkarılmasının gerekmesi halinde, bu durumun vuku bulmasından veya lisans sahibi tarafından öğrenilmesinden itibaren en geç altmış gün içerisinde, lisans sahibi gerekli tüm bilgi ve belgelerle birlikte Kuruma başvuruda bulunarak lisansının tadilini talep etmek zorundadır. </w:t>
            </w:r>
            <w:r w:rsidRPr="005D23EB">
              <w:rPr>
                <w:rFonts w:ascii="Times New Roman" w:eastAsia="Times New Roman" w:hAnsi="Times New Roman" w:cs="Times New Roman"/>
                <w:b/>
                <w:u w:val="single"/>
                <w:lang w:eastAsia="tr-TR"/>
              </w:rPr>
              <w:t>Bu fıkradaki süre bayilik lisansına kayıtlı dağıtım şirketinin değişmesi halinde otuz gün olarak uygulanır.</w:t>
            </w:r>
          </w:p>
          <w:p w14:paraId="2C633920" w14:textId="77777777" w:rsidR="00E47E2D" w:rsidRPr="005D23EB" w:rsidRDefault="00E47E2D" w:rsidP="005D23EB">
            <w:pPr>
              <w:jc w:val="both"/>
              <w:rPr>
                <w:rFonts w:ascii="Times New Roman" w:hAnsi="Times New Roman" w:cs="Times New Roman"/>
              </w:rPr>
            </w:pPr>
          </w:p>
          <w:p w14:paraId="75934914" w14:textId="77777777" w:rsidR="00883A0C" w:rsidRPr="005D23EB" w:rsidRDefault="00E47E2D" w:rsidP="005D23EB">
            <w:pPr>
              <w:tabs>
                <w:tab w:val="left" w:pos="1384"/>
              </w:tabs>
              <w:jc w:val="both"/>
              <w:rPr>
                <w:rFonts w:ascii="Times New Roman" w:hAnsi="Times New Roman" w:cs="Times New Roman"/>
              </w:rPr>
            </w:pPr>
            <w:r w:rsidRPr="005D23EB">
              <w:rPr>
                <w:rFonts w:ascii="Times New Roman" w:hAnsi="Times New Roman" w:cs="Times New Roman"/>
              </w:rPr>
              <w:tab/>
            </w:r>
          </w:p>
        </w:tc>
      </w:tr>
      <w:tr w:rsidR="005D23EB" w:rsidRPr="005D23EB" w14:paraId="36FE18C5" w14:textId="77777777" w:rsidTr="00D22B2C">
        <w:trPr>
          <w:trHeight w:val="843"/>
        </w:trPr>
        <w:tc>
          <w:tcPr>
            <w:tcW w:w="7366" w:type="dxa"/>
          </w:tcPr>
          <w:p w14:paraId="524978D3" w14:textId="77777777" w:rsidR="00E47E2D" w:rsidRPr="00E47E2D" w:rsidRDefault="00E47E2D" w:rsidP="005D23EB">
            <w:pPr>
              <w:autoSpaceDE w:val="0"/>
              <w:autoSpaceDN w:val="0"/>
              <w:adjustRightInd w:val="0"/>
              <w:jc w:val="both"/>
              <w:rPr>
                <w:rFonts w:ascii="Times New Roman" w:hAnsi="Times New Roman" w:cs="Times New Roman"/>
              </w:rPr>
            </w:pPr>
            <w:r w:rsidRPr="00E47E2D">
              <w:rPr>
                <w:rFonts w:ascii="Times New Roman" w:hAnsi="Times New Roman" w:cs="Times New Roman"/>
                <w:b/>
                <w:bCs/>
              </w:rPr>
              <w:t xml:space="preserve">Dağıtıcı Lisansı Kapsamında Yürütülebilecek Faaliyetler </w:t>
            </w:r>
          </w:p>
          <w:p w14:paraId="67AD089F" w14:textId="77777777" w:rsidR="00883A0C"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33- (1) f) </w:t>
            </w:r>
            <w:r w:rsidRPr="005D23EB">
              <w:rPr>
                <w:rFonts w:ascii="Times New Roman" w:hAnsi="Times New Roman" w:cs="Times New Roman"/>
              </w:rPr>
              <w:t xml:space="preserve">Kanunun 7 </w:t>
            </w:r>
            <w:proofErr w:type="spellStart"/>
            <w:r w:rsidRPr="005D23EB">
              <w:rPr>
                <w:rFonts w:ascii="Times New Roman" w:hAnsi="Times New Roman" w:cs="Times New Roman"/>
              </w:rPr>
              <w:t>nci</w:t>
            </w:r>
            <w:proofErr w:type="spellEnd"/>
            <w:r w:rsidRPr="005D23EB">
              <w:rPr>
                <w:rFonts w:ascii="Times New Roman" w:hAnsi="Times New Roman" w:cs="Times New Roman"/>
              </w:rPr>
              <w:t xml:space="preserve"> maddesinin ikinci fıkrasındaki sınırlamalar dışında, Özel Tüketim Vergisiz akaryakıt satışlarının, ticari deniz vasıtalarına doğrudan yapılması,</w:t>
            </w:r>
          </w:p>
        </w:tc>
        <w:tc>
          <w:tcPr>
            <w:tcW w:w="6628" w:type="dxa"/>
          </w:tcPr>
          <w:p w14:paraId="7430B106" w14:textId="77777777" w:rsidR="00E47E2D" w:rsidRPr="00E47E2D" w:rsidRDefault="00E47E2D" w:rsidP="005D23EB">
            <w:pPr>
              <w:autoSpaceDE w:val="0"/>
              <w:autoSpaceDN w:val="0"/>
              <w:adjustRightInd w:val="0"/>
              <w:jc w:val="both"/>
              <w:rPr>
                <w:rFonts w:ascii="Times New Roman" w:hAnsi="Times New Roman" w:cs="Times New Roman"/>
              </w:rPr>
            </w:pPr>
            <w:r w:rsidRPr="00E47E2D">
              <w:rPr>
                <w:rFonts w:ascii="Times New Roman" w:hAnsi="Times New Roman" w:cs="Times New Roman"/>
                <w:b/>
                <w:bCs/>
              </w:rPr>
              <w:t xml:space="preserve">Dağıtıcı Lisansı Kapsamında Yürütülebilecek Faaliyetler </w:t>
            </w:r>
          </w:p>
          <w:p w14:paraId="0B04174A" w14:textId="3096D1BD" w:rsidR="00883A0C"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33- (1) f) </w:t>
            </w:r>
            <w:r w:rsidRPr="005D23EB">
              <w:rPr>
                <w:rFonts w:ascii="Times New Roman" w:hAnsi="Times New Roman" w:cs="Times New Roman"/>
              </w:rPr>
              <w:t xml:space="preserve">Kanunun 7 </w:t>
            </w:r>
            <w:proofErr w:type="spellStart"/>
            <w:r w:rsidRPr="005D23EB">
              <w:rPr>
                <w:rFonts w:ascii="Times New Roman" w:hAnsi="Times New Roman" w:cs="Times New Roman"/>
              </w:rPr>
              <w:t>nci</w:t>
            </w:r>
            <w:proofErr w:type="spellEnd"/>
            <w:r w:rsidRPr="005D23EB">
              <w:rPr>
                <w:rFonts w:ascii="Times New Roman" w:hAnsi="Times New Roman" w:cs="Times New Roman"/>
              </w:rPr>
              <w:t xml:space="preserve"> maddesinin ikinci fıkrasındaki sınırlamalar dışında, </w:t>
            </w:r>
            <w:r w:rsidRPr="005D23EB">
              <w:rPr>
                <w:rFonts w:ascii="Times New Roman" w:hAnsi="Times New Roman" w:cs="Times New Roman"/>
                <w:b/>
                <w:u w:val="single"/>
              </w:rPr>
              <w:t xml:space="preserve">lisanslarına </w:t>
            </w:r>
            <w:r w:rsidRPr="00FB33B5">
              <w:rPr>
                <w:rFonts w:ascii="Times New Roman" w:hAnsi="Times New Roman" w:cs="Times New Roman"/>
                <w:b/>
                <w:u w:val="single"/>
              </w:rPr>
              <w:t>alt başlı</w:t>
            </w:r>
            <w:r w:rsidRPr="005D23EB">
              <w:rPr>
                <w:rFonts w:ascii="Times New Roman" w:hAnsi="Times New Roman" w:cs="Times New Roman"/>
                <w:b/>
                <w:u w:val="single"/>
              </w:rPr>
              <w:t>k olarak</w:t>
            </w:r>
            <w:r w:rsidRPr="00FB33B5">
              <w:rPr>
                <w:rFonts w:ascii="Times New Roman" w:hAnsi="Times New Roman" w:cs="Times New Roman"/>
                <w:b/>
                <w:u w:val="single"/>
              </w:rPr>
              <w:t xml:space="preserve"> </w:t>
            </w:r>
            <w:proofErr w:type="spellStart"/>
            <w:r w:rsidRPr="00FB33B5">
              <w:rPr>
                <w:rFonts w:ascii="Times New Roman" w:hAnsi="Times New Roman" w:cs="Times New Roman"/>
                <w:b/>
                <w:u w:val="single"/>
              </w:rPr>
              <w:t>ihrakiye</w:t>
            </w:r>
            <w:proofErr w:type="spellEnd"/>
            <w:r w:rsidRPr="00FB33B5">
              <w:rPr>
                <w:rFonts w:ascii="Times New Roman" w:hAnsi="Times New Roman" w:cs="Times New Roman"/>
                <w:b/>
                <w:u w:val="single"/>
              </w:rPr>
              <w:t xml:space="preserve"> teslimi faaliyeti işlenmesi koşuluyla</w:t>
            </w:r>
            <w:r w:rsidRPr="005D23EB">
              <w:rPr>
                <w:rFonts w:ascii="Times New Roman" w:hAnsi="Times New Roman" w:cs="Times New Roman"/>
                <w:b/>
                <w:u w:val="single"/>
              </w:rPr>
              <w:t>,</w:t>
            </w:r>
            <w:r w:rsidRPr="00FB33B5">
              <w:rPr>
                <w:rFonts w:ascii="Times New Roman" w:hAnsi="Times New Roman" w:cs="Times New Roman"/>
              </w:rPr>
              <w:t xml:space="preserve"> </w:t>
            </w:r>
            <w:r w:rsidRPr="005D23EB">
              <w:rPr>
                <w:rFonts w:ascii="Times New Roman" w:hAnsi="Times New Roman" w:cs="Times New Roman"/>
              </w:rPr>
              <w:t>Özel Tüketim Vergisiz akaryakıt satışlarının, ticari deniz vasıtalarına doğrudan yapılması,</w:t>
            </w:r>
          </w:p>
        </w:tc>
      </w:tr>
      <w:tr w:rsidR="005D23EB" w:rsidRPr="005D23EB" w14:paraId="278032E5" w14:textId="77777777" w:rsidTr="00D22B2C">
        <w:trPr>
          <w:trHeight w:val="843"/>
        </w:trPr>
        <w:tc>
          <w:tcPr>
            <w:tcW w:w="7366" w:type="dxa"/>
          </w:tcPr>
          <w:p w14:paraId="4D0921D2" w14:textId="77777777" w:rsidR="00E47E2D" w:rsidRPr="00E47E2D" w:rsidRDefault="00E47E2D" w:rsidP="005D23EB">
            <w:pPr>
              <w:autoSpaceDE w:val="0"/>
              <w:autoSpaceDN w:val="0"/>
              <w:adjustRightInd w:val="0"/>
              <w:jc w:val="both"/>
              <w:rPr>
                <w:rFonts w:ascii="Times New Roman" w:hAnsi="Times New Roman" w:cs="Times New Roman"/>
              </w:rPr>
            </w:pPr>
            <w:r w:rsidRPr="00E47E2D">
              <w:rPr>
                <w:rFonts w:ascii="Times New Roman" w:hAnsi="Times New Roman" w:cs="Times New Roman"/>
                <w:b/>
                <w:bCs/>
              </w:rPr>
              <w:t xml:space="preserve">Dağıtıcı Lisansı Kapsamında Yürütülebilecek Faaliyetler </w:t>
            </w:r>
          </w:p>
          <w:p w14:paraId="72635079" w14:textId="77777777" w:rsidR="00E47E2D"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33- (3) </w:t>
            </w:r>
            <w:r w:rsidRPr="005D23EB">
              <w:rPr>
                <w:rFonts w:ascii="Times New Roman" w:hAnsi="Times New Roman" w:cs="Times New Roman"/>
              </w:rPr>
              <w:t>Dağıtıcı lisansı sahipleri, faaliyeti geçici olarak durdurulan dağıtıcıların bayilerine, faaliyetin durdurulduğu süre ile sınırlı olmak kaydıyla akaryakıt satışı yapabilir.</w:t>
            </w:r>
          </w:p>
        </w:tc>
        <w:tc>
          <w:tcPr>
            <w:tcW w:w="6628" w:type="dxa"/>
          </w:tcPr>
          <w:p w14:paraId="67133455" w14:textId="77777777" w:rsidR="00E47E2D" w:rsidRPr="00E47E2D" w:rsidRDefault="00E47E2D" w:rsidP="005D23EB">
            <w:pPr>
              <w:autoSpaceDE w:val="0"/>
              <w:autoSpaceDN w:val="0"/>
              <w:adjustRightInd w:val="0"/>
              <w:jc w:val="both"/>
              <w:rPr>
                <w:rFonts w:ascii="Times New Roman" w:hAnsi="Times New Roman" w:cs="Times New Roman"/>
              </w:rPr>
            </w:pPr>
            <w:r w:rsidRPr="00E47E2D">
              <w:rPr>
                <w:rFonts w:ascii="Times New Roman" w:hAnsi="Times New Roman" w:cs="Times New Roman"/>
                <w:b/>
                <w:bCs/>
              </w:rPr>
              <w:t xml:space="preserve">Dağıtıcı Lisansı Kapsamında Yürütülebilecek Faaliyetler </w:t>
            </w:r>
          </w:p>
          <w:p w14:paraId="66CB7CD0" w14:textId="77777777" w:rsidR="00E47E2D"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33- (3) </w:t>
            </w:r>
            <w:r w:rsidRPr="005D23EB">
              <w:rPr>
                <w:rFonts w:ascii="Times New Roman" w:hAnsi="Times New Roman" w:cs="Times New Roman"/>
              </w:rPr>
              <w:t xml:space="preserve">Dağıtıcı lisansı sahipleri, faaliyeti geçici olarak durdurulan dağıtıcıların bayilerine, faaliyetin durdurulduğu süre ile sınırlı olmak </w:t>
            </w:r>
            <w:r w:rsidRPr="00AF0B4D">
              <w:rPr>
                <w:rFonts w:ascii="Times New Roman" w:hAnsi="Times New Roman" w:cs="Times New Roman"/>
                <w:b/>
                <w:u w:val="single"/>
              </w:rPr>
              <w:t>ve g</w:t>
            </w:r>
            <w:r w:rsidRPr="005D23EB">
              <w:rPr>
                <w:rFonts w:ascii="Times New Roman" w:hAnsi="Times New Roman" w:cs="Times New Roman"/>
                <w:b/>
                <w:u w:val="single"/>
              </w:rPr>
              <w:t xml:space="preserve">erekli tadil işlemlerinin yapılması </w:t>
            </w:r>
            <w:r w:rsidRPr="005D23EB">
              <w:rPr>
                <w:rFonts w:ascii="Times New Roman" w:hAnsi="Times New Roman" w:cs="Times New Roman"/>
              </w:rPr>
              <w:t>kaydıyla akaryakıt satışı yapabilir.</w:t>
            </w:r>
          </w:p>
        </w:tc>
      </w:tr>
      <w:tr w:rsidR="005D23EB" w:rsidRPr="005D23EB" w14:paraId="62FBBBB0" w14:textId="77777777" w:rsidTr="00D22B2C">
        <w:trPr>
          <w:trHeight w:val="843"/>
        </w:trPr>
        <w:tc>
          <w:tcPr>
            <w:tcW w:w="7366" w:type="dxa"/>
          </w:tcPr>
          <w:p w14:paraId="7C2D5447" w14:textId="77777777" w:rsidR="00E47E2D"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Dağıtıcı Lisansı Sahiplerinin Yükümlülükleri</w:t>
            </w:r>
          </w:p>
          <w:p w14:paraId="720726DE" w14:textId="77777777" w:rsidR="005D23EB" w:rsidRPr="005D23EB" w:rsidRDefault="00E47E2D" w:rsidP="005D23EB">
            <w:pPr>
              <w:jc w:val="both"/>
              <w:rPr>
                <w:rFonts w:ascii="Times New Roman" w:hAnsi="Times New Roman" w:cs="Times New Roman"/>
              </w:rPr>
            </w:pPr>
            <w:r w:rsidRPr="005D23EB">
              <w:rPr>
                <w:rFonts w:ascii="Times New Roman" w:hAnsi="Times New Roman" w:cs="Times New Roman"/>
                <w:b/>
                <w:bCs/>
              </w:rPr>
              <w:t>Madde 34- (1) o)</w:t>
            </w:r>
            <w:r w:rsidR="005D23EB" w:rsidRPr="005D23EB">
              <w:rPr>
                <w:rFonts w:ascii="Times New Roman" w:hAnsi="Times New Roman" w:cs="Times New Roman"/>
                <w:b/>
                <w:bCs/>
              </w:rPr>
              <w:t xml:space="preserve"> </w:t>
            </w:r>
            <w:r w:rsidR="005D23EB" w:rsidRPr="005D23EB">
              <w:rPr>
                <w:rFonts w:ascii="Times New Roman" w:hAnsi="Times New Roman" w:cs="Times New Roman"/>
              </w:rPr>
              <w:t xml:space="preserve">Bayilik sözleşmelerinin; </w:t>
            </w:r>
          </w:p>
          <w:p w14:paraId="36C96E30" w14:textId="77777777" w:rsidR="00AF0B4D" w:rsidRDefault="005D23EB" w:rsidP="005D23EB">
            <w:pPr>
              <w:autoSpaceDE w:val="0"/>
              <w:autoSpaceDN w:val="0"/>
              <w:adjustRightInd w:val="0"/>
              <w:jc w:val="both"/>
              <w:rPr>
                <w:rFonts w:ascii="Times New Roman" w:hAnsi="Times New Roman" w:cs="Times New Roman"/>
              </w:rPr>
            </w:pPr>
            <w:r w:rsidRPr="005D23EB">
              <w:rPr>
                <w:rFonts w:ascii="Times New Roman" w:hAnsi="Times New Roman" w:cs="Times New Roman"/>
              </w:rPr>
              <w:t xml:space="preserve">1) Dağıtıcı tarafından bayiye gönderilen noter onaylı tek taraflı fesih ihbarnamesi ile sona erdirilmesi halinde ihbarnamenin </w:t>
            </w:r>
            <w:r w:rsidRPr="00FB33B5">
              <w:rPr>
                <w:rFonts w:ascii="Times New Roman" w:hAnsi="Times New Roman" w:cs="Times New Roman"/>
                <w:b/>
                <w:strike/>
              </w:rPr>
              <w:t>bir ay</w:t>
            </w:r>
            <w:r w:rsidRPr="005D23EB">
              <w:rPr>
                <w:rFonts w:ascii="Times New Roman" w:hAnsi="Times New Roman" w:cs="Times New Roman"/>
              </w:rPr>
              <w:t xml:space="preserve"> içerisinde Kuruma bildirilmesi, </w:t>
            </w:r>
          </w:p>
          <w:p w14:paraId="779B3B1D" w14:textId="2E5610A6" w:rsidR="00AF0B4D" w:rsidRDefault="005D23EB" w:rsidP="005D23EB">
            <w:pPr>
              <w:autoSpaceDE w:val="0"/>
              <w:autoSpaceDN w:val="0"/>
              <w:adjustRightInd w:val="0"/>
              <w:jc w:val="both"/>
              <w:rPr>
                <w:rFonts w:ascii="Times New Roman" w:hAnsi="Times New Roman" w:cs="Times New Roman"/>
              </w:rPr>
            </w:pPr>
            <w:r w:rsidRPr="005D23EB">
              <w:rPr>
                <w:rFonts w:ascii="Times New Roman" w:hAnsi="Times New Roman" w:cs="Times New Roman"/>
              </w:rPr>
              <w:t xml:space="preserve">2) Bayi tarafından dağıtıcıya gönderilen noter onaylı tek taraflı fesih ihbarnamesi ile sona erdirilmesi halinde tebellüğ tarihinden itibaren </w:t>
            </w:r>
            <w:r w:rsidRPr="00FB33B5">
              <w:rPr>
                <w:rFonts w:ascii="Times New Roman" w:hAnsi="Times New Roman" w:cs="Times New Roman"/>
                <w:b/>
                <w:strike/>
              </w:rPr>
              <w:t>bir ay</w:t>
            </w:r>
            <w:r w:rsidRPr="005D23EB">
              <w:rPr>
                <w:rFonts w:ascii="Times New Roman" w:hAnsi="Times New Roman" w:cs="Times New Roman"/>
              </w:rPr>
              <w:t xml:space="preserve"> içerisinde ilgili ihbarname ile birlikte Kuruma bildirilmesi, </w:t>
            </w:r>
          </w:p>
          <w:p w14:paraId="1E10D84A" w14:textId="77777777" w:rsidR="00AF0B4D" w:rsidRDefault="005D23EB" w:rsidP="005D23EB">
            <w:pPr>
              <w:autoSpaceDE w:val="0"/>
              <w:autoSpaceDN w:val="0"/>
              <w:adjustRightInd w:val="0"/>
              <w:jc w:val="both"/>
              <w:rPr>
                <w:rFonts w:ascii="Times New Roman" w:hAnsi="Times New Roman" w:cs="Times New Roman"/>
              </w:rPr>
            </w:pPr>
            <w:r w:rsidRPr="005D23EB">
              <w:rPr>
                <w:rFonts w:ascii="Times New Roman" w:hAnsi="Times New Roman" w:cs="Times New Roman"/>
              </w:rPr>
              <w:t xml:space="preserve">3) Karşılıklı fesih protokolü ile sona erdirilmesi halinde protokol tarihinden itibaren </w:t>
            </w:r>
            <w:r w:rsidRPr="00FB33B5">
              <w:rPr>
                <w:rFonts w:ascii="Times New Roman" w:hAnsi="Times New Roman" w:cs="Times New Roman"/>
                <w:b/>
                <w:strike/>
              </w:rPr>
              <w:t>bir ay</w:t>
            </w:r>
            <w:r w:rsidRPr="005D23EB">
              <w:rPr>
                <w:rFonts w:ascii="Times New Roman" w:hAnsi="Times New Roman" w:cs="Times New Roman"/>
              </w:rPr>
              <w:t xml:space="preserve"> içerisinde fesih protokolü ile birlikte Kuruma bildirilmesi, </w:t>
            </w:r>
          </w:p>
          <w:p w14:paraId="176B1540" w14:textId="03E90927" w:rsidR="00E47E2D" w:rsidRPr="005D23EB" w:rsidRDefault="005D23EB"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rPr>
              <w:lastRenderedPageBreak/>
              <w:t xml:space="preserve">4) Diğer sona erme hallerinde ise sona erme tarihinden itibaren en geç </w:t>
            </w:r>
            <w:r w:rsidRPr="00FB33B5">
              <w:rPr>
                <w:rFonts w:ascii="Times New Roman" w:hAnsi="Times New Roman" w:cs="Times New Roman"/>
                <w:b/>
                <w:strike/>
              </w:rPr>
              <w:t>iki ay</w:t>
            </w:r>
            <w:r w:rsidRPr="005D23EB">
              <w:rPr>
                <w:rFonts w:ascii="Times New Roman" w:hAnsi="Times New Roman" w:cs="Times New Roman"/>
              </w:rPr>
              <w:t xml:space="preserve"> içerisinde, sona erme tarihi açıkça belirtilmek suretiyle, gerekçeli olarak ve varsa sona ermeye ilişkin belgelerle birlikte Kuruma bildirilmesi,</w:t>
            </w:r>
          </w:p>
        </w:tc>
        <w:tc>
          <w:tcPr>
            <w:tcW w:w="6628" w:type="dxa"/>
          </w:tcPr>
          <w:p w14:paraId="021B02CF" w14:textId="77777777" w:rsidR="00E47E2D" w:rsidRPr="005D23EB" w:rsidRDefault="00E47E2D"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lastRenderedPageBreak/>
              <w:t>Dağıtıcı Lisansı Sahiplerinin Yükümlülükleri</w:t>
            </w:r>
          </w:p>
          <w:p w14:paraId="61476868" w14:textId="77777777" w:rsidR="005D23EB" w:rsidRPr="005D23EB" w:rsidRDefault="00E47E2D" w:rsidP="005D23EB">
            <w:pPr>
              <w:jc w:val="both"/>
              <w:rPr>
                <w:rFonts w:ascii="Times New Roman" w:hAnsi="Times New Roman" w:cs="Times New Roman"/>
              </w:rPr>
            </w:pPr>
            <w:r w:rsidRPr="005D23EB">
              <w:rPr>
                <w:rFonts w:ascii="Times New Roman" w:hAnsi="Times New Roman" w:cs="Times New Roman"/>
                <w:b/>
                <w:bCs/>
              </w:rPr>
              <w:t>Madde 34- (1) o)</w:t>
            </w:r>
            <w:r w:rsidR="005D23EB" w:rsidRPr="005D23EB">
              <w:rPr>
                <w:rFonts w:ascii="Times New Roman" w:hAnsi="Times New Roman" w:cs="Times New Roman"/>
                <w:b/>
                <w:bCs/>
              </w:rPr>
              <w:t xml:space="preserve"> </w:t>
            </w:r>
            <w:r w:rsidR="005D23EB" w:rsidRPr="005D23EB">
              <w:rPr>
                <w:rFonts w:ascii="Times New Roman" w:hAnsi="Times New Roman" w:cs="Times New Roman"/>
              </w:rPr>
              <w:t xml:space="preserve">Bayilik sözleşmelerinin; </w:t>
            </w:r>
          </w:p>
          <w:p w14:paraId="3D212A60" w14:textId="77777777" w:rsidR="00AF0B4D" w:rsidRDefault="005D23EB" w:rsidP="005D23EB">
            <w:pPr>
              <w:autoSpaceDE w:val="0"/>
              <w:autoSpaceDN w:val="0"/>
              <w:adjustRightInd w:val="0"/>
              <w:jc w:val="both"/>
              <w:rPr>
                <w:rFonts w:ascii="Times New Roman" w:hAnsi="Times New Roman" w:cs="Times New Roman"/>
              </w:rPr>
            </w:pPr>
            <w:r w:rsidRPr="005D23EB">
              <w:rPr>
                <w:rFonts w:ascii="Times New Roman" w:hAnsi="Times New Roman" w:cs="Times New Roman"/>
              </w:rPr>
              <w:t xml:space="preserve">1) Dağıtıcı tarafından bayiye gönderilen noter onaylı tek taraflı fesih ihbarnamesi ile sona erdirilmesi halinde ihbarnamenin </w:t>
            </w:r>
            <w:r w:rsidRPr="005D23EB">
              <w:rPr>
                <w:rFonts w:ascii="Times New Roman" w:hAnsi="Times New Roman" w:cs="Times New Roman"/>
                <w:b/>
                <w:u w:val="single"/>
              </w:rPr>
              <w:t xml:space="preserve">beş iş günü </w:t>
            </w:r>
            <w:r w:rsidRPr="005D23EB">
              <w:rPr>
                <w:rFonts w:ascii="Times New Roman" w:hAnsi="Times New Roman" w:cs="Times New Roman"/>
              </w:rPr>
              <w:t xml:space="preserve">içerisinde Kuruma bildirilmesi, </w:t>
            </w:r>
          </w:p>
          <w:p w14:paraId="679737C2" w14:textId="77777777" w:rsidR="00AF0B4D" w:rsidRDefault="005D23EB" w:rsidP="005D23EB">
            <w:pPr>
              <w:autoSpaceDE w:val="0"/>
              <w:autoSpaceDN w:val="0"/>
              <w:adjustRightInd w:val="0"/>
              <w:jc w:val="both"/>
              <w:rPr>
                <w:rFonts w:ascii="Times New Roman" w:hAnsi="Times New Roman" w:cs="Times New Roman"/>
              </w:rPr>
            </w:pPr>
            <w:r w:rsidRPr="005D23EB">
              <w:rPr>
                <w:rFonts w:ascii="Times New Roman" w:hAnsi="Times New Roman" w:cs="Times New Roman"/>
              </w:rPr>
              <w:t xml:space="preserve">2) Bayi tarafından dağıtıcıya gönderilen noter onaylı tek taraflı fesih ihbarnamesi ile sona erdirilmesi halinde tebellüğ tarihinden itibaren </w:t>
            </w:r>
            <w:r w:rsidRPr="005D23EB">
              <w:rPr>
                <w:rFonts w:ascii="Times New Roman" w:hAnsi="Times New Roman" w:cs="Times New Roman"/>
                <w:b/>
                <w:u w:val="single"/>
              </w:rPr>
              <w:t xml:space="preserve">beş iş günü </w:t>
            </w:r>
            <w:r w:rsidRPr="005D23EB">
              <w:rPr>
                <w:rFonts w:ascii="Times New Roman" w:hAnsi="Times New Roman" w:cs="Times New Roman"/>
              </w:rPr>
              <w:t xml:space="preserve">içerisinde ilgili ihbarname ile birlikte Kuruma bildirilmesi, </w:t>
            </w:r>
          </w:p>
          <w:p w14:paraId="6807899A" w14:textId="77777777" w:rsidR="00AF0B4D" w:rsidRDefault="005D23EB" w:rsidP="005D23EB">
            <w:pPr>
              <w:autoSpaceDE w:val="0"/>
              <w:autoSpaceDN w:val="0"/>
              <w:adjustRightInd w:val="0"/>
              <w:jc w:val="both"/>
              <w:rPr>
                <w:rFonts w:ascii="Times New Roman" w:hAnsi="Times New Roman" w:cs="Times New Roman"/>
              </w:rPr>
            </w:pPr>
            <w:r w:rsidRPr="005D23EB">
              <w:rPr>
                <w:rFonts w:ascii="Times New Roman" w:hAnsi="Times New Roman" w:cs="Times New Roman"/>
              </w:rPr>
              <w:t xml:space="preserve">3) Karşılıklı fesih protokolü ile sona erdirilmesi halinde protokol tarihinden itibaren </w:t>
            </w:r>
            <w:r w:rsidRPr="005D23EB">
              <w:rPr>
                <w:rFonts w:ascii="Times New Roman" w:hAnsi="Times New Roman" w:cs="Times New Roman"/>
                <w:b/>
                <w:u w:val="single"/>
              </w:rPr>
              <w:t xml:space="preserve">beş iş günü </w:t>
            </w:r>
            <w:r w:rsidRPr="005D23EB">
              <w:rPr>
                <w:rFonts w:ascii="Times New Roman" w:hAnsi="Times New Roman" w:cs="Times New Roman"/>
              </w:rPr>
              <w:t xml:space="preserve">içerisinde fesih protokolü ile birlikte Kuruma bildirilmesi, </w:t>
            </w:r>
          </w:p>
          <w:p w14:paraId="0B7D5A3E" w14:textId="4CD37A4C" w:rsidR="00E47E2D" w:rsidRPr="005D23EB" w:rsidRDefault="005D23EB"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rPr>
              <w:lastRenderedPageBreak/>
              <w:t xml:space="preserve">4) Diğer sona erme hallerinde ise sona erme tarihinden itibaren en geç </w:t>
            </w:r>
            <w:r w:rsidRPr="005D23EB">
              <w:rPr>
                <w:rFonts w:ascii="Times New Roman" w:hAnsi="Times New Roman" w:cs="Times New Roman"/>
                <w:b/>
                <w:u w:val="single"/>
              </w:rPr>
              <w:t xml:space="preserve">beş iş günü </w:t>
            </w:r>
            <w:r w:rsidRPr="005D23EB">
              <w:rPr>
                <w:rFonts w:ascii="Times New Roman" w:hAnsi="Times New Roman" w:cs="Times New Roman"/>
              </w:rPr>
              <w:t>içerisinde, sona erme tarihi açıkça belirtilmek suretiyle, gerekçeli olarak ve varsa sona ermeye ilişkin belgelerle birlikte Kuruma bildirilmesi,</w:t>
            </w:r>
          </w:p>
        </w:tc>
      </w:tr>
      <w:tr w:rsidR="005D23EB" w:rsidRPr="005D23EB" w14:paraId="0235144E" w14:textId="77777777" w:rsidTr="00D22B2C">
        <w:trPr>
          <w:trHeight w:val="843"/>
        </w:trPr>
        <w:tc>
          <w:tcPr>
            <w:tcW w:w="7366" w:type="dxa"/>
          </w:tcPr>
          <w:p w14:paraId="6E5C2D7F" w14:textId="77777777" w:rsidR="005D23EB" w:rsidRPr="005D23EB" w:rsidRDefault="005D23EB" w:rsidP="005D23EB">
            <w:pPr>
              <w:pStyle w:val="Default"/>
              <w:jc w:val="both"/>
              <w:rPr>
                <w:color w:val="auto"/>
                <w:sz w:val="22"/>
                <w:szCs w:val="22"/>
              </w:rPr>
            </w:pPr>
            <w:r w:rsidRPr="005D23EB">
              <w:rPr>
                <w:b/>
                <w:bCs/>
                <w:color w:val="auto"/>
                <w:sz w:val="22"/>
                <w:szCs w:val="22"/>
              </w:rPr>
              <w:lastRenderedPageBreak/>
              <w:t xml:space="preserve">Bayilik teşkilatı kurulması </w:t>
            </w:r>
          </w:p>
          <w:p w14:paraId="614A43D1" w14:textId="77777777" w:rsidR="00E47E2D" w:rsidRPr="005D23EB" w:rsidRDefault="005D23EB"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34/A – (2) </w:t>
            </w:r>
            <w:r w:rsidRPr="005D23EB">
              <w:rPr>
                <w:rFonts w:ascii="Times New Roman" w:hAnsi="Times New Roman" w:cs="Times New Roman"/>
              </w:rPr>
              <w:t xml:space="preserve">Dağıtıcı lisansı sahipleri bayilik teşkilatını korumakla yükümlüdür. Bayilik teşkilatı </w:t>
            </w:r>
            <w:r w:rsidRPr="005D23EB">
              <w:rPr>
                <w:rFonts w:ascii="Times New Roman" w:hAnsi="Times New Roman" w:cs="Times New Roman"/>
                <w:b/>
                <w:strike/>
              </w:rPr>
              <w:t>kapsamındaki istasyonlu bayi sayısının bu maddede yer alan sayıların altına düşmesi</w:t>
            </w:r>
            <w:r w:rsidRPr="005D23EB">
              <w:rPr>
                <w:rFonts w:ascii="Times New Roman" w:hAnsi="Times New Roman" w:cs="Times New Roman"/>
              </w:rPr>
              <w:t xml:space="preserve"> durumunda, dağıtıcı lisansı sahibinin otuz gün içerisinde gerekli sayıya ulaşması zorunludur.</w:t>
            </w:r>
          </w:p>
        </w:tc>
        <w:tc>
          <w:tcPr>
            <w:tcW w:w="6628" w:type="dxa"/>
          </w:tcPr>
          <w:p w14:paraId="79188B4E" w14:textId="77777777" w:rsidR="005D23EB" w:rsidRPr="005D23EB" w:rsidRDefault="005D23EB" w:rsidP="005D23EB">
            <w:pPr>
              <w:pStyle w:val="Default"/>
              <w:jc w:val="both"/>
              <w:rPr>
                <w:color w:val="auto"/>
                <w:sz w:val="22"/>
                <w:szCs w:val="22"/>
              </w:rPr>
            </w:pPr>
            <w:r w:rsidRPr="005D23EB">
              <w:rPr>
                <w:b/>
                <w:bCs/>
                <w:color w:val="auto"/>
                <w:sz w:val="22"/>
                <w:szCs w:val="22"/>
              </w:rPr>
              <w:t xml:space="preserve">Bayilik teşkilatı kurulması </w:t>
            </w:r>
          </w:p>
          <w:p w14:paraId="3DA51C22" w14:textId="252E706C" w:rsidR="00E47E2D" w:rsidRPr="005D23EB" w:rsidRDefault="005D23EB" w:rsidP="00FB33B5">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34/A – (2) </w:t>
            </w:r>
            <w:r w:rsidRPr="005D23EB">
              <w:rPr>
                <w:rFonts w:ascii="Times New Roman" w:hAnsi="Times New Roman" w:cs="Times New Roman"/>
              </w:rPr>
              <w:t>Dağıtıcı lisansı sahipleri bayilik teşkilatını korumakla yükümlüdür. Bayilik teşkilatı</w:t>
            </w:r>
            <w:r w:rsidRPr="005D23EB">
              <w:rPr>
                <w:rFonts w:ascii="Times New Roman" w:hAnsi="Times New Roman" w:cs="Times New Roman"/>
                <w:b/>
                <w:u w:val="single"/>
              </w:rPr>
              <w:t>nın hiç oluşturulamaması veya oluşturulduktan sonra</w:t>
            </w:r>
            <w:r w:rsidRPr="005D23EB">
              <w:rPr>
                <w:rFonts w:ascii="Times New Roman" w:hAnsi="Times New Roman" w:cs="Times New Roman"/>
              </w:rPr>
              <w:t xml:space="preserve"> </w:t>
            </w:r>
            <w:r w:rsidRPr="005D23EB">
              <w:rPr>
                <w:rFonts w:ascii="Times New Roman" w:hAnsi="Times New Roman" w:cs="Times New Roman"/>
                <w:b/>
                <w:u w:val="single"/>
              </w:rPr>
              <w:t xml:space="preserve">korunamaması </w:t>
            </w:r>
            <w:r w:rsidRPr="005D23EB">
              <w:rPr>
                <w:rFonts w:ascii="Times New Roman" w:hAnsi="Times New Roman" w:cs="Times New Roman"/>
              </w:rPr>
              <w:t xml:space="preserve">durumunda, dağıtıcı lisansı sahibinin </w:t>
            </w:r>
            <w:r w:rsidRPr="00FB33B5">
              <w:rPr>
                <w:rFonts w:ascii="Times New Roman" w:hAnsi="Times New Roman" w:cs="Times New Roman"/>
                <w:b/>
                <w:u w:val="single"/>
              </w:rPr>
              <w:t>bildirime</w:t>
            </w:r>
            <w:r w:rsidRPr="005D23EB">
              <w:rPr>
                <w:rFonts w:ascii="Times New Roman" w:hAnsi="Times New Roman" w:cs="Times New Roman"/>
                <w:b/>
                <w:u w:val="single"/>
              </w:rPr>
              <w:t xml:space="preserve"> gerek olmaksızın, </w:t>
            </w:r>
            <w:r w:rsidRPr="005D23EB">
              <w:rPr>
                <w:rFonts w:ascii="Times New Roman" w:hAnsi="Times New Roman" w:cs="Times New Roman"/>
              </w:rPr>
              <w:t>otuz gün içerisinde gerekli bayi sayısına ulaşması zorunludur.</w:t>
            </w:r>
            <w:r w:rsidRPr="005D23EB">
              <w:rPr>
                <w:rFonts w:ascii="Times New Roman" w:hAnsi="Times New Roman" w:cs="Times New Roman"/>
                <w:b/>
                <w:u w:val="single"/>
              </w:rPr>
              <w:t xml:space="preserve"> Bu süre sonunda gerekli sayıda bayisi bulunmayan dağıtıcı lisansı sahipleri bayilik teşkilatını oluşturamamış veya koruyamamış olarak kabul edilir ve Yönetmeliğin 17 </w:t>
            </w:r>
            <w:proofErr w:type="spellStart"/>
            <w:r w:rsidRPr="005D23EB">
              <w:rPr>
                <w:rFonts w:ascii="Times New Roman" w:hAnsi="Times New Roman" w:cs="Times New Roman"/>
                <w:b/>
                <w:u w:val="single"/>
              </w:rPr>
              <w:t>nci</w:t>
            </w:r>
            <w:proofErr w:type="spellEnd"/>
            <w:r w:rsidRPr="005D23EB">
              <w:rPr>
                <w:rFonts w:ascii="Times New Roman" w:hAnsi="Times New Roman" w:cs="Times New Roman"/>
                <w:b/>
                <w:u w:val="single"/>
              </w:rPr>
              <w:t xml:space="preserve"> maddesine göre işlem gerçekleştirilir.</w:t>
            </w:r>
          </w:p>
        </w:tc>
      </w:tr>
      <w:tr w:rsidR="005D23EB" w:rsidRPr="005D23EB" w14:paraId="4AB96127" w14:textId="77777777" w:rsidTr="00D22B2C">
        <w:trPr>
          <w:trHeight w:val="843"/>
        </w:trPr>
        <w:tc>
          <w:tcPr>
            <w:tcW w:w="7366" w:type="dxa"/>
          </w:tcPr>
          <w:p w14:paraId="4958A08B" w14:textId="77777777" w:rsidR="005D23EB" w:rsidRPr="005D23EB" w:rsidRDefault="005D23EB" w:rsidP="005D23EB">
            <w:pPr>
              <w:pStyle w:val="Default"/>
              <w:jc w:val="both"/>
              <w:rPr>
                <w:color w:val="auto"/>
                <w:sz w:val="22"/>
                <w:szCs w:val="22"/>
              </w:rPr>
            </w:pPr>
            <w:r w:rsidRPr="005D23EB">
              <w:rPr>
                <w:b/>
                <w:bCs/>
                <w:color w:val="auto"/>
                <w:sz w:val="22"/>
                <w:szCs w:val="22"/>
              </w:rPr>
              <w:t xml:space="preserve">Temin ve Satışa İlişkin Kısıtlamalar ile Miktar Kısıtlamaları </w:t>
            </w:r>
          </w:p>
          <w:p w14:paraId="6813D4C7" w14:textId="77777777" w:rsidR="00E47E2D" w:rsidRPr="005D23EB" w:rsidRDefault="005D23EB"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44- (1) </w:t>
            </w:r>
            <w:r w:rsidRPr="005D23EB">
              <w:rPr>
                <w:rFonts w:ascii="Times New Roman" w:hAnsi="Times New Roman" w:cs="Times New Roman"/>
              </w:rPr>
              <w:t>Petrolün ihracı serbesttir. Akaryakıt haricinde kalan petrol ürünlerinin yurt içi ve yurt dışı kaynaklardan teminine ilişkin işlemler çıkarılacak tebliğlerle düzenlenir. Ham petrol ve akaryakıt ithalatı, ilgili ve diğer mevzuattaki hükümlere uymak koşuluyla, lisanslarına göre hak sahibi kılınan kişilerce serbestçe yapılır.</w:t>
            </w:r>
          </w:p>
        </w:tc>
        <w:tc>
          <w:tcPr>
            <w:tcW w:w="6628" w:type="dxa"/>
          </w:tcPr>
          <w:p w14:paraId="5BD6D6CB" w14:textId="77777777" w:rsidR="005D23EB" w:rsidRPr="005D23EB" w:rsidRDefault="005D23EB" w:rsidP="005D23EB">
            <w:pPr>
              <w:pStyle w:val="Default"/>
              <w:jc w:val="both"/>
              <w:rPr>
                <w:color w:val="auto"/>
                <w:sz w:val="22"/>
                <w:szCs w:val="22"/>
              </w:rPr>
            </w:pPr>
            <w:r w:rsidRPr="005D23EB">
              <w:rPr>
                <w:b/>
                <w:bCs/>
                <w:color w:val="auto"/>
                <w:sz w:val="22"/>
                <w:szCs w:val="22"/>
              </w:rPr>
              <w:t xml:space="preserve">Temin ve Satışa İlişkin Kısıtlamalar ile Miktar Kısıtlamaları </w:t>
            </w:r>
          </w:p>
          <w:p w14:paraId="5BFB174A" w14:textId="3833E4A1" w:rsidR="00E47E2D" w:rsidRPr="005D23EB" w:rsidRDefault="005D23EB" w:rsidP="005D23EB">
            <w:pPr>
              <w:autoSpaceDE w:val="0"/>
              <w:autoSpaceDN w:val="0"/>
              <w:adjustRightInd w:val="0"/>
              <w:jc w:val="both"/>
              <w:rPr>
                <w:rFonts w:ascii="Times New Roman" w:hAnsi="Times New Roman" w:cs="Times New Roman"/>
                <w:b/>
                <w:bCs/>
              </w:rPr>
            </w:pPr>
            <w:r w:rsidRPr="005D23EB">
              <w:rPr>
                <w:rFonts w:ascii="Times New Roman" w:hAnsi="Times New Roman" w:cs="Times New Roman"/>
                <w:b/>
                <w:bCs/>
              </w:rPr>
              <w:t xml:space="preserve">Madde 44- (1) </w:t>
            </w:r>
            <w:r w:rsidRPr="005D23EB">
              <w:rPr>
                <w:rFonts w:ascii="Times New Roman" w:hAnsi="Times New Roman" w:cs="Times New Roman"/>
              </w:rPr>
              <w:t xml:space="preserve">Petrolün ihracı serbesttir. Akaryakıt haricinde kalan petrol ürünlerinin yurt içi ve yurt dışı kaynaklardan teminine ilişkin işlemler çıkarılacak tebliğlerle düzenlenir. Ham petrol ve akaryakıt ithalatı, ilgili ve diğer mevzuattaki hükümlere uymak koşuluyla, lisanslarına göre hak sahibi kılınan kişilerce serbestçe yapılır. </w:t>
            </w:r>
            <w:r w:rsidRPr="005D23EB">
              <w:rPr>
                <w:rFonts w:ascii="Times New Roman" w:hAnsi="Times New Roman" w:cs="Times New Roman"/>
                <w:b/>
                <w:u w:val="single"/>
              </w:rPr>
              <w:t xml:space="preserve">Kullanım amacı ticari nitelik arz etmeyen ve öncesinde Kurumdan izin alınmak koşuluyla; Ar-Ge ve test amaçlı olmak üzere azami 10 litrelik ambalajlarda ve bir takvim yılında 500 litreyi geçmemek şartıyla, </w:t>
            </w:r>
            <w:r w:rsidRPr="00FB33B5">
              <w:rPr>
                <w:rFonts w:ascii="Times New Roman" w:hAnsi="Times New Roman" w:cs="Times New Roman"/>
                <w:b/>
                <w:u w:val="single"/>
              </w:rPr>
              <w:t>lisans sahibi olmayan kişiler</w:t>
            </w:r>
            <w:r w:rsidR="00680856">
              <w:rPr>
                <w:rFonts w:ascii="Times New Roman" w:hAnsi="Times New Roman" w:cs="Times New Roman"/>
                <w:b/>
                <w:u w:val="single"/>
              </w:rPr>
              <w:t xml:space="preserve"> tarafından</w:t>
            </w:r>
            <w:r w:rsidRPr="00FB33B5">
              <w:rPr>
                <w:rFonts w:ascii="Times New Roman" w:hAnsi="Times New Roman" w:cs="Times New Roman"/>
                <w:b/>
                <w:u w:val="single"/>
              </w:rPr>
              <w:t xml:space="preserve"> </w:t>
            </w:r>
            <w:r w:rsidRPr="005D23EB">
              <w:rPr>
                <w:rFonts w:ascii="Times New Roman" w:hAnsi="Times New Roman" w:cs="Times New Roman"/>
                <w:b/>
                <w:u w:val="single"/>
              </w:rPr>
              <w:t>yurtdışından akaryakıt temin edilebilir.</w:t>
            </w:r>
          </w:p>
        </w:tc>
      </w:tr>
      <w:tr w:rsidR="005D23EB" w:rsidRPr="005D23EB" w14:paraId="49BD697D" w14:textId="77777777" w:rsidTr="00D22B2C">
        <w:trPr>
          <w:trHeight w:val="843"/>
        </w:trPr>
        <w:tc>
          <w:tcPr>
            <w:tcW w:w="7366" w:type="dxa"/>
          </w:tcPr>
          <w:p w14:paraId="44D0E4E4" w14:textId="77777777" w:rsidR="005D23EB" w:rsidRPr="005D23EB" w:rsidRDefault="005D23EB" w:rsidP="005D23EB">
            <w:pPr>
              <w:pStyle w:val="Default"/>
              <w:jc w:val="both"/>
              <w:rPr>
                <w:b/>
                <w:bCs/>
                <w:color w:val="auto"/>
                <w:sz w:val="22"/>
                <w:szCs w:val="22"/>
              </w:rPr>
            </w:pPr>
            <w:r w:rsidRPr="005D23EB">
              <w:rPr>
                <w:b/>
                <w:color w:val="auto"/>
                <w:sz w:val="22"/>
                <w:szCs w:val="22"/>
              </w:rPr>
              <w:t>Geçici Madde 27 -</w:t>
            </w:r>
            <w:r w:rsidRPr="005D23EB">
              <w:rPr>
                <w:color w:val="auto"/>
                <w:sz w:val="22"/>
                <w:szCs w:val="22"/>
              </w:rPr>
              <w:t xml:space="preserve"> </w:t>
            </w:r>
            <w:r w:rsidRPr="00FB33B5">
              <w:rPr>
                <w:color w:val="auto"/>
                <w:sz w:val="22"/>
                <w:szCs w:val="22"/>
              </w:rPr>
              <w:t xml:space="preserve">1/1/2020 tarihinden önce lisans alanlar; 31/12/2019 tarihinde yürürlükte olan ilgili mevzuatla belirlenen asgari ödenmiş sermayesini korumak ve </w:t>
            </w:r>
            <w:r w:rsidRPr="00FB33B5">
              <w:rPr>
                <w:b/>
                <w:strike/>
                <w:color w:val="auto"/>
                <w:sz w:val="22"/>
                <w:szCs w:val="22"/>
              </w:rPr>
              <w:t>1/7/2020</w:t>
            </w:r>
            <w:r w:rsidRPr="00FB33B5">
              <w:rPr>
                <w:color w:val="auto"/>
                <w:sz w:val="22"/>
                <w:szCs w:val="22"/>
              </w:rPr>
              <w:t xml:space="preserve"> tarihine kadar 7 </w:t>
            </w:r>
            <w:proofErr w:type="spellStart"/>
            <w:r w:rsidRPr="00FB33B5">
              <w:rPr>
                <w:color w:val="auto"/>
                <w:sz w:val="22"/>
                <w:szCs w:val="22"/>
              </w:rPr>
              <w:t>nci</w:t>
            </w:r>
            <w:proofErr w:type="spellEnd"/>
            <w:r w:rsidRPr="00FB33B5">
              <w:rPr>
                <w:color w:val="auto"/>
                <w:sz w:val="22"/>
                <w:szCs w:val="22"/>
              </w:rPr>
              <w:t xml:space="preserve"> maddenin yedinci fıkrasının (a) bendinde belirtilen asgari ödenmiş sermayeyi sağlamakla yükümlüdür.</w:t>
            </w:r>
          </w:p>
        </w:tc>
        <w:tc>
          <w:tcPr>
            <w:tcW w:w="6628" w:type="dxa"/>
          </w:tcPr>
          <w:p w14:paraId="1CE9E2DC" w14:textId="77777777" w:rsidR="005D23EB" w:rsidRPr="00FB33B5" w:rsidRDefault="005D23EB" w:rsidP="005D23EB">
            <w:pPr>
              <w:jc w:val="both"/>
              <w:rPr>
                <w:rFonts w:ascii="Times New Roman" w:hAnsi="Times New Roman" w:cs="Times New Roman"/>
              </w:rPr>
            </w:pPr>
            <w:r w:rsidRPr="005D23EB">
              <w:rPr>
                <w:rFonts w:ascii="Times New Roman" w:hAnsi="Times New Roman" w:cs="Times New Roman"/>
                <w:b/>
              </w:rPr>
              <w:t>Geçici Madde 27 -</w:t>
            </w:r>
            <w:r w:rsidRPr="005D23EB">
              <w:rPr>
                <w:rFonts w:ascii="Times New Roman" w:hAnsi="Times New Roman" w:cs="Times New Roman"/>
              </w:rPr>
              <w:t xml:space="preserve"> </w:t>
            </w:r>
            <w:r w:rsidRPr="00FB33B5">
              <w:rPr>
                <w:rFonts w:ascii="Times New Roman" w:hAnsi="Times New Roman" w:cs="Times New Roman"/>
              </w:rPr>
              <w:t xml:space="preserve">(1) 1/1/2020 tarihinden önce lisans alanlar; 31/12/2019 tarihinde yürürlükte olan ilgili mevzuatla belirlenen asgari ödenmiş sermayesini korumak ve </w:t>
            </w:r>
            <w:r w:rsidRPr="00FB33B5">
              <w:rPr>
                <w:rFonts w:ascii="Times New Roman" w:hAnsi="Times New Roman" w:cs="Times New Roman"/>
                <w:b/>
                <w:u w:val="single"/>
              </w:rPr>
              <w:t>1/1/2021</w:t>
            </w:r>
            <w:r w:rsidRPr="00FB33B5">
              <w:rPr>
                <w:rFonts w:ascii="Times New Roman" w:hAnsi="Times New Roman" w:cs="Times New Roman"/>
              </w:rPr>
              <w:t xml:space="preserve"> tarihine kadar 7 </w:t>
            </w:r>
            <w:proofErr w:type="spellStart"/>
            <w:r w:rsidRPr="00FB33B5">
              <w:rPr>
                <w:rFonts w:ascii="Times New Roman" w:hAnsi="Times New Roman" w:cs="Times New Roman"/>
              </w:rPr>
              <w:t>nci</w:t>
            </w:r>
            <w:proofErr w:type="spellEnd"/>
            <w:r w:rsidRPr="00FB33B5">
              <w:rPr>
                <w:rFonts w:ascii="Times New Roman" w:hAnsi="Times New Roman" w:cs="Times New Roman"/>
              </w:rPr>
              <w:t xml:space="preserve"> maddenin yedinci fıkrasının (a) bendinde belirtilen asgari ödenmiş sermayeyi sağlamakla yükümlüdürler. </w:t>
            </w:r>
            <w:r w:rsidRPr="00FB33B5">
              <w:rPr>
                <w:rFonts w:ascii="Times New Roman" w:hAnsi="Times New Roman" w:cs="Times New Roman"/>
                <w:b/>
                <w:u w:val="single"/>
              </w:rPr>
              <w:t xml:space="preserve">Bu yükümlülüğün yerine getirilmediğinin tespiti halinde ilgilinin lisansı sona erdirilir. </w:t>
            </w:r>
          </w:p>
          <w:p w14:paraId="53B0D834" w14:textId="77777777" w:rsidR="005D23EB" w:rsidRPr="00FB33B5" w:rsidRDefault="005D23EB" w:rsidP="005D23EB">
            <w:pPr>
              <w:jc w:val="both"/>
              <w:rPr>
                <w:rFonts w:ascii="Times New Roman" w:hAnsi="Times New Roman" w:cs="Times New Roman"/>
              </w:rPr>
            </w:pPr>
          </w:p>
          <w:p w14:paraId="42632B44" w14:textId="77777777" w:rsidR="005D23EB" w:rsidRPr="005D23EB" w:rsidRDefault="005D23EB" w:rsidP="005D23EB">
            <w:pPr>
              <w:pStyle w:val="Default"/>
              <w:jc w:val="both"/>
              <w:rPr>
                <w:b/>
                <w:bCs/>
                <w:color w:val="auto"/>
                <w:sz w:val="22"/>
                <w:szCs w:val="22"/>
                <w:u w:val="single"/>
              </w:rPr>
            </w:pPr>
            <w:r w:rsidRPr="00FB33B5">
              <w:rPr>
                <w:b/>
                <w:color w:val="auto"/>
                <w:sz w:val="22"/>
                <w:szCs w:val="22"/>
                <w:u w:val="single"/>
              </w:rPr>
              <w:t>(2) 1/1/2020 tarihinden önce lisans alanlar, bu yükümlülüğün sağlandığını gösterir</w:t>
            </w:r>
            <w:r w:rsidRPr="005D23EB">
              <w:rPr>
                <w:b/>
                <w:color w:val="auto"/>
                <w:sz w:val="22"/>
                <w:szCs w:val="22"/>
                <w:u w:val="single"/>
              </w:rPr>
              <w:t xml:space="preserve"> Yeminli Mali Müşavir raporunu 1/2/2021 tarihine kadar</w:t>
            </w:r>
            <w:r w:rsidRPr="00FB33B5">
              <w:rPr>
                <w:b/>
                <w:color w:val="auto"/>
                <w:sz w:val="22"/>
                <w:szCs w:val="22"/>
                <w:u w:val="single"/>
              </w:rPr>
              <w:t xml:space="preserve"> Kurum’a iletmekle yükümlüdürler.</w:t>
            </w:r>
          </w:p>
          <w:p w14:paraId="717FAA83" w14:textId="77777777" w:rsidR="005D23EB" w:rsidRPr="005D23EB" w:rsidRDefault="005D23EB" w:rsidP="005D23EB">
            <w:pPr>
              <w:ind w:firstLine="708"/>
              <w:jc w:val="both"/>
              <w:rPr>
                <w:rFonts w:ascii="Times New Roman" w:hAnsi="Times New Roman" w:cs="Times New Roman"/>
              </w:rPr>
            </w:pPr>
          </w:p>
        </w:tc>
      </w:tr>
    </w:tbl>
    <w:p w14:paraId="0284AAAB" w14:textId="77777777" w:rsidR="00327A9C" w:rsidRPr="005D23EB" w:rsidRDefault="00327A9C" w:rsidP="005D23EB">
      <w:pPr>
        <w:jc w:val="both"/>
        <w:rPr>
          <w:rFonts w:ascii="Times New Roman" w:hAnsi="Times New Roman" w:cs="Times New Roman"/>
        </w:rPr>
      </w:pPr>
    </w:p>
    <w:sectPr w:rsidR="00327A9C" w:rsidRPr="005D23EB" w:rsidSect="00C333D8">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417" w:bottom="1417"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A226" w14:textId="77777777" w:rsidR="002C51CD" w:rsidRDefault="002C51CD" w:rsidP="00CC6FE0">
      <w:pPr>
        <w:spacing w:after="0" w:line="240" w:lineRule="auto"/>
      </w:pPr>
      <w:r>
        <w:separator/>
      </w:r>
    </w:p>
  </w:endnote>
  <w:endnote w:type="continuationSeparator" w:id="0">
    <w:p w14:paraId="4506C27E" w14:textId="77777777" w:rsidR="002C51CD" w:rsidRDefault="002C51CD" w:rsidP="00CC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267F" w14:textId="77777777" w:rsidR="00C333D8" w:rsidRDefault="00C333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73211"/>
      <w:docPartObj>
        <w:docPartGallery w:val="Page Numbers (Bottom of Page)"/>
        <w:docPartUnique/>
      </w:docPartObj>
    </w:sdtPr>
    <w:sdtEndPr/>
    <w:sdtContent>
      <w:p w14:paraId="5E8F21D8" w14:textId="404F1356" w:rsidR="00987896" w:rsidRDefault="00987896">
        <w:pPr>
          <w:pStyle w:val="AltBilgi"/>
          <w:jc w:val="right"/>
        </w:pPr>
        <w:r>
          <w:fldChar w:fldCharType="begin"/>
        </w:r>
        <w:r>
          <w:instrText>PAGE   \* MERGEFORMAT</w:instrText>
        </w:r>
        <w:r>
          <w:fldChar w:fldCharType="separate"/>
        </w:r>
        <w:r w:rsidR="009718DD">
          <w:rPr>
            <w:noProof/>
          </w:rPr>
          <w:t>10</w:t>
        </w:r>
        <w:r>
          <w:fldChar w:fldCharType="end"/>
        </w:r>
      </w:p>
    </w:sdtContent>
  </w:sdt>
  <w:p w14:paraId="341245A5" w14:textId="77777777" w:rsidR="00F05F03" w:rsidRDefault="00F05F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03A2" w14:textId="77777777" w:rsidR="00C333D8" w:rsidRDefault="00C333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F935" w14:textId="77777777" w:rsidR="002C51CD" w:rsidRDefault="002C51CD" w:rsidP="00CC6FE0">
      <w:pPr>
        <w:spacing w:after="0" w:line="240" w:lineRule="auto"/>
      </w:pPr>
      <w:r>
        <w:separator/>
      </w:r>
    </w:p>
  </w:footnote>
  <w:footnote w:type="continuationSeparator" w:id="0">
    <w:p w14:paraId="2E6FE683" w14:textId="77777777" w:rsidR="002C51CD" w:rsidRDefault="002C51CD" w:rsidP="00CC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84F6" w14:textId="77777777" w:rsidR="00C333D8" w:rsidRDefault="00C333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AE06" w14:textId="77777777" w:rsidR="00C333D8" w:rsidRDefault="00C333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E710" w14:textId="77777777" w:rsidR="00C333D8" w:rsidRDefault="00C333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6"/>
    <w:rsid w:val="000262B7"/>
    <w:rsid w:val="000516EC"/>
    <w:rsid w:val="00080ECF"/>
    <w:rsid w:val="000955E8"/>
    <w:rsid w:val="000A6705"/>
    <w:rsid w:val="000B3952"/>
    <w:rsid w:val="00112654"/>
    <w:rsid w:val="0012124F"/>
    <w:rsid w:val="00125045"/>
    <w:rsid w:val="00165A7D"/>
    <w:rsid w:val="00183D0A"/>
    <w:rsid w:val="00197A9F"/>
    <w:rsid w:val="001A1996"/>
    <w:rsid w:val="001D05BD"/>
    <w:rsid w:val="00202194"/>
    <w:rsid w:val="002026B6"/>
    <w:rsid w:val="00216655"/>
    <w:rsid w:val="0023778F"/>
    <w:rsid w:val="00291BC3"/>
    <w:rsid w:val="002A0965"/>
    <w:rsid w:val="002A1C30"/>
    <w:rsid w:val="002A506E"/>
    <w:rsid w:val="002C51CD"/>
    <w:rsid w:val="003160BF"/>
    <w:rsid w:val="003202D5"/>
    <w:rsid w:val="00327A9C"/>
    <w:rsid w:val="00342036"/>
    <w:rsid w:val="0037406F"/>
    <w:rsid w:val="003A626A"/>
    <w:rsid w:val="003D33E1"/>
    <w:rsid w:val="004109CD"/>
    <w:rsid w:val="004117FA"/>
    <w:rsid w:val="004443C6"/>
    <w:rsid w:val="004543B2"/>
    <w:rsid w:val="00455FA0"/>
    <w:rsid w:val="00457032"/>
    <w:rsid w:val="00464C58"/>
    <w:rsid w:val="00475546"/>
    <w:rsid w:val="00484118"/>
    <w:rsid w:val="004A6B17"/>
    <w:rsid w:val="004B2D0D"/>
    <w:rsid w:val="004B3971"/>
    <w:rsid w:val="004B523B"/>
    <w:rsid w:val="004C66AB"/>
    <w:rsid w:val="004D38CE"/>
    <w:rsid w:val="004D72FA"/>
    <w:rsid w:val="004D7CD2"/>
    <w:rsid w:val="004E1E07"/>
    <w:rsid w:val="004E1F75"/>
    <w:rsid w:val="005176F9"/>
    <w:rsid w:val="0052533F"/>
    <w:rsid w:val="00540184"/>
    <w:rsid w:val="00567C26"/>
    <w:rsid w:val="005D23EB"/>
    <w:rsid w:val="005E49D4"/>
    <w:rsid w:val="005E4C2F"/>
    <w:rsid w:val="005E5D46"/>
    <w:rsid w:val="005F3B10"/>
    <w:rsid w:val="00627AA9"/>
    <w:rsid w:val="00634AC7"/>
    <w:rsid w:val="006415B3"/>
    <w:rsid w:val="00642767"/>
    <w:rsid w:val="00656167"/>
    <w:rsid w:val="00672C0B"/>
    <w:rsid w:val="00680856"/>
    <w:rsid w:val="00684A9B"/>
    <w:rsid w:val="00695493"/>
    <w:rsid w:val="006A1701"/>
    <w:rsid w:val="006B2293"/>
    <w:rsid w:val="006D6C44"/>
    <w:rsid w:val="006F72FD"/>
    <w:rsid w:val="007206F9"/>
    <w:rsid w:val="0075576B"/>
    <w:rsid w:val="007708B8"/>
    <w:rsid w:val="00783979"/>
    <w:rsid w:val="0079241C"/>
    <w:rsid w:val="007D0763"/>
    <w:rsid w:val="008370C0"/>
    <w:rsid w:val="00841127"/>
    <w:rsid w:val="00883A0C"/>
    <w:rsid w:val="008C395E"/>
    <w:rsid w:val="008F3682"/>
    <w:rsid w:val="008F4E8B"/>
    <w:rsid w:val="00902EB3"/>
    <w:rsid w:val="0090482F"/>
    <w:rsid w:val="00925768"/>
    <w:rsid w:val="009343F2"/>
    <w:rsid w:val="0095133A"/>
    <w:rsid w:val="00952487"/>
    <w:rsid w:val="0096498D"/>
    <w:rsid w:val="009718DD"/>
    <w:rsid w:val="0098587F"/>
    <w:rsid w:val="00987896"/>
    <w:rsid w:val="0099146F"/>
    <w:rsid w:val="00991785"/>
    <w:rsid w:val="00992B28"/>
    <w:rsid w:val="009F5FAF"/>
    <w:rsid w:val="00A44115"/>
    <w:rsid w:val="00A5159F"/>
    <w:rsid w:val="00A527F7"/>
    <w:rsid w:val="00A71725"/>
    <w:rsid w:val="00A74956"/>
    <w:rsid w:val="00A95235"/>
    <w:rsid w:val="00AF0B4D"/>
    <w:rsid w:val="00AF7094"/>
    <w:rsid w:val="00B020D4"/>
    <w:rsid w:val="00B0759B"/>
    <w:rsid w:val="00B27900"/>
    <w:rsid w:val="00B30B9B"/>
    <w:rsid w:val="00B422CC"/>
    <w:rsid w:val="00B6140B"/>
    <w:rsid w:val="00B8303A"/>
    <w:rsid w:val="00B93D08"/>
    <w:rsid w:val="00BC2F79"/>
    <w:rsid w:val="00BD767B"/>
    <w:rsid w:val="00BF31B8"/>
    <w:rsid w:val="00BF7436"/>
    <w:rsid w:val="00BF74D1"/>
    <w:rsid w:val="00C32EE1"/>
    <w:rsid w:val="00C333D8"/>
    <w:rsid w:val="00C4332F"/>
    <w:rsid w:val="00CB2421"/>
    <w:rsid w:val="00CB6115"/>
    <w:rsid w:val="00CC6FE0"/>
    <w:rsid w:val="00CD3BC8"/>
    <w:rsid w:val="00CE7B17"/>
    <w:rsid w:val="00CF7AE1"/>
    <w:rsid w:val="00D029D8"/>
    <w:rsid w:val="00D22302"/>
    <w:rsid w:val="00D22B2C"/>
    <w:rsid w:val="00D27D2D"/>
    <w:rsid w:val="00D32AEE"/>
    <w:rsid w:val="00D55C2B"/>
    <w:rsid w:val="00D80AF6"/>
    <w:rsid w:val="00DB72A3"/>
    <w:rsid w:val="00DC5B37"/>
    <w:rsid w:val="00DE4B3A"/>
    <w:rsid w:val="00DF5A6D"/>
    <w:rsid w:val="00E0045C"/>
    <w:rsid w:val="00E00A4C"/>
    <w:rsid w:val="00E10988"/>
    <w:rsid w:val="00E15F5F"/>
    <w:rsid w:val="00E349C1"/>
    <w:rsid w:val="00E41077"/>
    <w:rsid w:val="00E47E2D"/>
    <w:rsid w:val="00EA7F64"/>
    <w:rsid w:val="00EC1CDD"/>
    <w:rsid w:val="00EF2873"/>
    <w:rsid w:val="00F0320E"/>
    <w:rsid w:val="00F05F03"/>
    <w:rsid w:val="00F20FFC"/>
    <w:rsid w:val="00F257AF"/>
    <w:rsid w:val="00F44E36"/>
    <w:rsid w:val="00F9254F"/>
    <w:rsid w:val="00FA236B"/>
    <w:rsid w:val="00FB15E2"/>
    <w:rsid w:val="00FB33B5"/>
    <w:rsid w:val="00FB4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EE3A"/>
  <w15:docId w15:val="{86DB29AA-6991-4995-9C77-267E3AE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7B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B17"/>
    <w:rPr>
      <w:rFonts w:ascii="Tahoma" w:hAnsi="Tahoma" w:cs="Tahoma"/>
      <w:sz w:val="16"/>
      <w:szCs w:val="16"/>
    </w:rPr>
  </w:style>
  <w:style w:type="character" w:styleId="Kpr">
    <w:name w:val="Hyperlink"/>
    <w:basedOn w:val="VarsaylanParagrafYazTipi"/>
    <w:uiPriority w:val="99"/>
    <w:semiHidden/>
    <w:unhideWhenUsed/>
    <w:rsid w:val="00DF5A6D"/>
    <w:rPr>
      <w:color w:val="0000FF"/>
      <w:u w:val="single"/>
    </w:rPr>
  </w:style>
  <w:style w:type="paragraph" w:styleId="stBilgi">
    <w:name w:val="header"/>
    <w:basedOn w:val="Normal"/>
    <w:link w:val="stBilgiChar"/>
    <w:uiPriority w:val="99"/>
    <w:unhideWhenUsed/>
    <w:rsid w:val="00CC6F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6FE0"/>
  </w:style>
  <w:style w:type="paragraph" w:styleId="AltBilgi">
    <w:name w:val="footer"/>
    <w:basedOn w:val="Normal"/>
    <w:link w:val="AltBilgiChar"/>
    <w:uiPriority w:val="99"/>
    <w:unhideWhenUsed/>
    <w:rsid w:val="00CC6F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6FE0"/>
  </w:style>
  <w:style w:type="paragraph" w:customStyle="1" w:styleId="Default">
    <w:name w:val="Default"/>
    <w:rsid w:val="00B93D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Normal (Web) Char Char,Normal (Web) Char Char Char Char,Normal (Web) Char Char Char"/>
    <w:basedOn w:val="Normal"/>
    <w:uiPriority w:val="34"/>
    <w:qFormat/>
    <w:rsid w:val="00A527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883A0C"/>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883A0C"/>
    <w:rPr>
      <w:sz w:val="20"/>
      <w:szCs w:val="20"/>
    </w:rPr>
  </w:style>
  <w:style w:type="character" w:styleId="AklamaBavurusu">
    <w:name w:val="annotation reference"/>
    <w:basedOn w:val="VarsaylanParagrafYazTipi"/>
    <w:uiPriority w:val="99"/>
    <w:semiHidden/>
    <w:unhideWhenUsed/>
    <w:rsid w:val="00883A0C"/>
    <w:rPr>
      <w:sz w:val="16"/>
      <w:szCs w:val="16"/>
    </w:rPr>
  </w:style>
  <w:style w:type="paragraph" w:styleId="AklamaKonusu">
    <w:name w:val="annotation subject"/>
    <w:basedOn w:val="AklamaMetni"/>
    <w:next w:val="AklamaMetni"/>
    <w:link w:val="AklamaKonusuChar"/>
    <w:uiPriority w:val="99"/>
    <w:semiHidden/>
    <w:unhideWhenUsed/>
    <w:rsid w:val="005D23EB"/>
    <w:rPr>
      <w:b/>
      <w:bCs/>
    </w:rPr>
  </w:style>
  <w:style w:type="character" w:customStyle="1" w:styleId="AklamaKonusuChar">
    <w:name w:val="Açıklama Konusu Char"/>
    <w:basedOn w:val="AklamaMetniChar"/>
    <w:link w:val="AklamaKonusu"/>
    <w:uiPriority w:val="99"/>
    <w:semiHidden/>
    <w:rsid w:val="005D2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771">
      <w:bodyDiv w:val="1"/>
      <w:marLeft w:val="0"/>
      <w:marRight w:val="0"/>
      <w:marTop w:val="0"/>
      <w:marBottom w:val="0"/>
      <w:divBdr>
        <w:top w:val="none" w:sz="0" w:space="0" w:color="auto"/>
        <w:left w:val="none" w:sz="0" w:space="0" w:color="auto"/>
        <w:bottom w:val="none" w:sz="0" w:space="0" w:color="auto"/>
        <w:right w:val="none" w:sz="0" w:space="0" w:color="auto"/>
      </w:divBdr>
    </w:div>
    <w:div w:id="115612396">
      <w:bodyDiv w:val="1"/>
      <w:marLeft w:val="0"/>
      <w:marRight w:val="0"/>
      <w:marTop w:val="0"/>
      <w:marBottom w:val="0"/>
      <w:divBdr>
        <w:top w:val="none" w:sz="0" w:space="0" w:color="auto"/>
        <w:left w:val="none" w:sz="0" w:space="0" w:color="auto"/>
        <w:bottom w:val="none" w:sz="0" w:space="0" w:color="auto"/>
        <w:right w:val="none" w:sz="0" w:space="0" w:color="auto"/>
      </w:divBdr>
    </w:div>
    <w:div w:id="183716449">
      <w:bodyDiv w:val="1"/>
      <w:marLeft w:val="0"/>
      <w:marRight w:val="0"/>
      <w:marTop w:val="0"/>
      <w:marBottom w:val="0"/>
      <w:divBdr>
        <w:top w:val="none" w:sz="0" w:space="0" w:color="auto"/>
        <w:left w:val="none" w:sz="0" w:space="0" w:color="auto"/>
        <w:bottom w:val="none" w:sz="0" w:space="0" w:color="auto"/>
        <w:right w:val="none" w:sz="0" w:space="0" w:color="auto"/>
      </w:divBdr>
    </w:div>
    <w:div w:id="231895397">
      <w:bodyDiv w:val="1"/>
      <w:marLeft w:val="0"/>
      <w:marRight w:val="0"/>
      <w:marTop w:val="0"/>
      <w:marBottom w:val="0"/>
      <w:divBdr>
        <w:top w:val="none" w:sz="0" w:space="0" w:color="auto"/>
        <w:left w:val="none" w:sz="0" w:space="0" w:color="auto"/>
        <w:bottom w:val="none" w:sz="0" w:space="0" w:color="auto"/>
        <w:right w:val="none" w:sz="0" w:space="0" w:color="auto"/>
      </w:divBdr>
    </w:div>
    <w:div w:id="258493692">
      <w:bodyDiv w:val="1"/>
      <w:marLeft w:val="0"/>
      <w:marRight w:val="0"/>
      <w:marTop w:val="0"/>
      <w:marBottom w:val="0"/>
      <w:divBdr>
        <w:top w:val="none" w:sz="0" w:space="0" w:color="auto"/>
        <w:left w:val="none" w:sz="0" w:space="0" w:color="auto"/>
        <w:bottom w:val="none" w:sz="0" w:space="0" w:color="auto"/>
        <w:right w:val="none" w:sz="0" w:space="0" w:color="auto"/>
      </w:divBdr>
    </w:div>
    <w:div w:id="301741039">
      <w:bodyDiv w:val="1"/>
      <w:marLeft w:val="0"/>
      <w:marRight w:val="0"/>
      <w:marTop w:val="0"/>
      <w:marBottom w:val="0"/>
      <w:divBdr>
        <w:top w:val="none" w:sz="0" w:space="0" w:color="auto"/>
        <w:left w:val="none" w:sz="0" w:space="0" w:color="auto"/>
        <w:bottom w:val="none" w:sz="0" w:space="0" w:color="auto"/>
        <w:right w:val="none" w:sz="0" w:space="0" w:color="auto"/>
      </w:divBdr>
    </w:div>
    <w:div w:id="343827799">
      <w:bodyDiv w:val="1"/>
      <w:marLeft w:val="0"/>
      <w:marRight w:val="0"/>
      <w:marTop w:val="0"/>
      <w:marBottom w:val="0"/>
      <w:divBdr>
        <w:top w:val="none" w:sz="0" w:space="0" w:color="auto"/>
        <w:left w:val="none" w:sz="0" w:space="0" w:color="auto"/>
        <w:bottom w:val="none" w:sz="0" w:space="0" w:color="auto"/>
        <w:right w:val="none" w:sz="0" w:space="0" w:color="auto"/>
      </w:divBdr>
    </w:div>
    <w:div w:id="367948849">
      <w:bodyDiv w:val="1"/>
      <w:marLeft w:val="0"/>
      <w:marRight w:val="0"/>
      <w:marTop w:val="0"/>
      <w:marBottom w:val="0"/>
      <w:divBdr>
        <w:top w:val="none" w:sz="0" w:space="0" w:color="auto"/>
        <w:left w:val="none" w:sz="0" w:space="0" w:color="auto"/>
        <w:bottom w:val="none" w:sz="0" w:space="0" w:color="auto"/>
        <w:right w:val="none" w:sz="0" w:space="0" w:color="auto"/>
      </w:divBdr>
    </w:div>
    <w:div w:id="436415549">
      <w:bodyDiv w:val="1"/>
      <w:marLeft w:val="0"/>
      <w:marRight w:val="0"/>
      <w:marTop w:val="0"/>
      <w:marBottom w:val="0"/>
      <w:divBdr>
        <w:top w:val="none" w:sz="0" w:space="0" w:color="auto"/>
        <w:left w:val="none" w:sz="0" w:space="0" w:color="auto"/>
        <w:bottom w:val="none" w:sz="0" w:space="0" w:color="auto"/>
        <w:right w:val="none" w:sz="0" w:space="0" w:color="auto"/>
      </w:divBdr>
    </w:div>
    <w:div w:id="508104705">
      <w:bodyDiv w:val="1"/>
      <w:marLeft w:val="0"/>
      <w:marRight w:val="0"/>
      <w:marTop w:val="0"/>
      <w:marBottom w:val="0"/>
      <w:divBdr>
        <w:top w:val="none" w:sz="0" w:space="0" w:color="auto"/>
        <w:left w:val="none" w:sz="0" w:space="0" w:color="auto"/>
        <w:bottom w:val="none" w:sz="0" w:space="0" w:color="auto"/>
        <w:right w:val="none" w:sz="0" w:space="0" w:color="auto"/>
      </w:divBdr>
    </w:div>
    <w:div w:id="523175502">
      <w:bodyDiv w:val="1"/>
      <w:marLeft w:val="0"/>
      <w:marRight w:val="0"/>
      <w:marTop w:val="0"/>
      <w:marBottom w:val="0"/>
      <w:divBdr>
        <w:top w:val="none" w:sz="0" w:space="0" w:color="auto"/>
        <w:left w:val="none" w:sz="0" w:space="0" w:color="auto"/>
        <w:bottom w:val="none" w:sz="0" w:space="0" w:color="auto"/>
        <w:right w:val="none" w:sz="0" w:space="0" w:color="auto"/>
      </w:divBdr>
    </w:div>
    <w:div w:id="562062244">
      <w:bodyDiv w:val="1"/>
      <w:marLeft w:val="0"/>
      <w:marRight w:val="0"/>
      <w:marTop w:val="0"/>
      <w:marBottom w:val="0"/>
      <w:divBdr>
        <w:top w:val="none" w:sz="0" w:space="0" w:color="auto"/>
        <w:left w:val="none" w:sz="0" w:space="0" w:color="auto"/>
        <w:bottom w:val="none" w:sz="0" w:space="0" w:color="auto"/>
        <w:right w:val="none" w:sz="0" w:space="0" w:color="auto"/>
      </w:divBdr>
    </w:div>
    <w:div w:id="574509146">
      <w:bodyDiv w:val="1"/>
      <w:marLeft w:val="0"/>
      <w:marRight w:val="0"/>
      <w:marTop w:val="0"/>
      <w:marBottom w:val="0"/>
      <w:divBdr>
        <w:top w:val="none" w:sz="0" w:space="0" w:color="auto"/>
        <w:left w:val="none" w:sz="0" w:space="0" w:color="auto"/>
        <w:bottom w:val="none" w:sz="0" w:space="0" w:color="auto"/>
        <w:right w:val="none" w:sz="0" w:space="0" w:color="auto"/>
      </w:divBdr>
    </w:div>
    <w:div w:id="583537036">
      <w:bodyDiv w:val="1"/>
      <w:marLeft w:val="0"/>
      <w:marRight w:val="0"/>
      <w:marTop w:val="0"/>
      <w:marBottom w:val="0"/>
      <w:divBdr>
        <w:top w:val="none" w:sz="0" w:space="0" w:color="auto"/>
        <w:left w:val="none" w:sz="0" w:space="0" w:color="auto"/>
        <w:bottom w:val="none" w:sz="0" w:space="0" w:color="auto"/>
        <w:right w:val="none" w:sz="0" w:space="0" w:color="auto"/>
      </w:divBdr>
    </w:div>
    <w:div w:id="618414618">
      <w:bodyDiv w:val="1"/>
      <w:marLeft w:val="0"/>
      <w:marRight w:val="0"/>
      <w:marTop w:val="0"/>
      <w:marBottom w:val="0"/>
      <w:divBdr>
        <w:top w:val="none" w:sz="0" w:space="0" w:color="auto"/>
        <w:left w:val="none" w:sz="0" w:space="0" w:color="auto"/>
        <w:bottom w:val="none" w:sz="0" w:space="0" w:color="auto"/>
        <w:right w:val="none" w:sz="0" w:space="0" w:color="auto"/>
      </w:divBdr>
    </w:div>
    <w:div w:id="635912625">
      <w:bodyDiv w:val="1"/>
      <w:marLeft w:val="0"/>
      <w:marRight w:val="0"/>
      <w:marTop w:val="0"/>
      <w:marBottom w:val="0"/>
      <w:divBdr>
        <w:top w:val="none" w:sz="0" w:space="0" w:color="auto"/>
        <w:left w:val="none" w:sz="0" w:space="0" w:color="auto"/>
        <w:bottom w:val="none" w:sz="0" w:space="0" w:color="auto"/>
        <w:right w:val="none" w:sz="0" w:space="0" w:color="auto"/>
      </w:divBdr>
    </w:div>
    <w:div w:id="657610124">
      <w:bodyDiv w:val="1"/>
      <w:marLeft w:val="0"/>
      <w:marRight w:val="0"/>
      <w:marTop w:val="0"/>
      <w:marBottom w:val="0"/>
      <w:divBdr>
        <w:top w:val="none" w:sz="0" w:space="0" w:color="auto"/>
        <w:left w:val="none" w:sz="0" w:space="0" w:color="auto"/>
        <w:bottom w:val="none" w:sz="0" w:space="0" w:color="auto"/>
        <w:right w:val="none" w:sz="0" w:space="0" w:color="auto"/>
      </w:divBdr>
    </w:div>
    <w:div w:id="661205849">
      <w:bodyDiv w:val="1"/>
      <w:marLeft w:val="0"/>
      <w:marRight w:val="0"/>
      <w:marTop w:val="0"/>
      <w:marBottom w:val="0"/>
      <w:divBdr>
        <w:top w:val="none" w:sz="0" w:space="0" w:color="auto"/>
        <w:left w:val="none" w:sz="0" w:space="0" w:color="auto"/>
        <w:bottom w:val="none" w:sz="0" w:space="0" w:color="auto"/>
        <w:right w:val="none" w:sz="0" w:space="0" w:color="auto"/>
      </w:divBdr>
    </w:div>
    <w:div w:id="750541984">
      <w:bodyDiv w:val="1"/>
      <w:marLeft w:val="0"/>
      <w:marRight w:val="0"/>
      <w:marTop w:val="0"/>
      <w:marBottom w:val="0"/>
      <w:divBdr>
        <w:top w:val="none" w:sz="0" w:space="0" w:color="auto"/>
        <w:left w:val="none" w:sz="0" w:space="0" w:color="auto"/>
        <w:bottom w:val="none" w:sz="0" w:space="0" w:color="auto"/>
        <w:right w:val="none" w:sz="0" w:space="0" w:color="auto"/>
      </w:divBdr>
    </w:div>
    <w:div w:id="847019877">
      <w:bodyDiv w:val="1"/>
      <w:marLeft w:val="0"/>
      <w:marRight w:val="0"/>
      <w:marTop w:val="0"/>
      <w:marBottom w:val="0"/>
      <w:divBdr>
        <w:top w:val="none" w:sz="0" w:space="0" w:color="auto"/>
        <w:left w:val="none" w:sz="0" w:space="0" w:color="auto"/>
        <w:bottom w:val="none" w:sz="0" w:space="0" w:color="auto"/>
        <w:right w:val="none" w:sz="0" w:space="0" w:color="auto"/>
      </w:divBdr>
      <w:divsChild>
        <w:div w:id="1453984503">
          <w:marLeft w:val="0"/>
          <w:marRight w:val="0"/>
          <w:marTop w:val="0"/>
          <w:marBottom w:val="0"/>
          <w:divBdr>
            <w:top w:val="none" w:sz="0" w:space="0" w:color="auto"/>
            <w:left w:val="none" w:sz="0" w:space="0" w:color="auto"/>
            <w:bottom w:val="none" w:sz="0" w:space="0" w:color="auto"/>
            <w:right w:val="none" w:sz="0" w:space="0" w:color="auto"/>
          </w:divBdr>
        </w:div>
      </w:divsChild>
    </w:div>
    <w:div w:id="875460754">
      <w:bodyDiv w:val="1"/>
      <w:marLeft w:val="0"/>
      <w:marRight w:val="0"/>
      <w:marTop w:val="0"/>
      <w:marBottom w:val="0"/>
      <w:divBdr>
        <w:top w:val="none" w:sz="0" w:space="0" w:color="auto"/>
        <w:left w:val="none" w:sz="0" w:space="0" w:color="auto"/>
        <w:bottom w:val="none" w:sz="0" w:space="0" w:color="auto"/>
        <w:right w:val="none" w:sz="0" w:space="0" w:color="auto"/>
      </w:divBdr>
    </w:div>
    <w:div w:id="937175610">
      <w:bodyDiv w:val="1"/>
      <w:marLeft w:val="0"/>
      <w:marRight w:val="0"/>
      <w:marTop w:val="0"/>
      <w:marBottom w:val="0"/>
      <w:divBdr>
        <w:top w:val="none" w:sz="0" w:space="0" w:color="auto"/>
        <w:left w:val="none" w:sz="0" w:space="0" w:color="auto"/>
        <w:bottom w:val="none" w:sz="0" w:space="0" w:color="auto"/>
        <w:right w:val="none" w:sz="0" w:space="0" w:color="auto"/>
      </w:divBdr>
    </w:div>
    <w:div w:id="1117723329">
      <w:bodyDiv w:val="1"/>
      <w:marLeft w:val="0"/>
      <w:marRight w:val="0"/>
      <w:marTop w:val="0"/>
      <w:marBottom w:val="0"/>
      <w:divBdr>
        <w:top w:val="none" w:sz="0" w:space="0" w:color="auto"/>
        <w:left w:val="none" w:sz="0" w:space="0" w:color="auto"/>
        <w:bottom w:val="none" w:sz="0" w:space="0" w:color="auto"/>
        <w:right w:val="none" w:sz="0" w:space="0" w:color="auto"/>
      </w:divBdr>
    </w:div>
    <w:div w:id="1211843440">
      <w:bodyDiv w:val="1"/>
      <w:marLeft w:val="0"/>
      <w:marRight w:val="0"/>
      <w:marTop w:val="0"/>
      <w:marBottom w:val="0"/>
      <w:divBdr>
        <w:top w:val="none" w:sz="0" w:space="0" w:color="auto"/>
        <w:left w:val="none" w:sz="0" w:space="0" w:color="auto"/>
        <w:bottom w:val="none" w:sz="0" w:space="0" w:color="auto"/>
        <w:right w:val="none" w:sz="0" w:space="0" w:color="auto"/>
      </w:divBdr>
    </w:div>
    <w:div w:id="1242367637">
      <w:bodyDiv w:val="1"/>
      <w:marLeft w:val="0"/>
      <w:marRight w:val="0"/>
      <w:marTop w:val="0"/>
      <w:marBottom w:val="0"/>
      <w:divBdr>
        <w:top w:val="none" w:sz="0" w:space="0" w:color="auto"/>
        <w:left w:val="none" w:sz="0" w:space="0" w:color="auto"/>
        <w:bottom w:val="none" w:sz="0" w:space="0" w:color="auto"/>
        <w:right w:val="none" w:sz="0" w:space="0" w:color="auto"/>
      </w:divBdr>
    </w:div>
    <w:div w:id="1336499291">
      <w:bodyDiv w:val="1"/>
      <w:marLeft w:val="0"/>
      <w:marRight w:val="0"/>
      <w:marTop w:val="0"/>
      <w:marBottom w:val="0"/>
      <w:divBdr>
        <w:top w:val="none" w:sz="0" w:space="0" w:color="auto"/>
        <w:left w:val="none" w:sz="0" w:space="0" w:color="auto"/>
        <w:bottom w:val="none" w:sz="0" w:space="0" w:color="auto"/>
        <w:right w:val="none" w:sz="0" w:space="0" w:color="auto"/>
      </w:divBdr>
    </w:div>
    <w:div w:id="1386757658">
      <w:bodyDiv w:val="1"/>
      <w:marLeft w:val="0"/>
      <w:marRight w:val="0"/>
      <w:marTop w:val="0"/>
      <w:marBottom w:val="0"/>
      <w:divBdr>
        <w:top w:val="none" w:sz="0" w:space="0" w:color="auto"/>
        <w:left w:val="none" w:sz="0" w:space="0" w:color="auto"/>
        <w:bottom w:val="none" w:sz="0" w:space="0" w:color="auto"/>
        <w:right w:val="none" w:sz="0" w:space="0" w:color="auto"/>
      </w:divBdr>
    </w:div>
    <w:div w:id="1419904230">
      <w:bodyDiv w:val="1"/>
      <w:marLeft w:val="0"/>
      <w:marRight w:val="0"/>
      <w:marTop w:val="0"/>
      <w:marBottom w:val="0"/>
      <w:divBdr>
        <w:top w:val="none" w:sz="0" w:space="0" w:color="auto"/>
        <w:left w:val="none" w:sz="0" w:space="0" w:color="auto"/>
        <w:bottom w:val="none" w:sz="0" w:space="0" w:color="auto"/>
        <w:right w:val="none" w:sz="0" w:space="0" w:color="auto"/>
      </w:divBdr>
    </w:div>
    <w:div w:id="1431318679">
      <w:bodyDiv w:val="1"/>
      <w:marLeft w:val="0"/>
      <w:marRight w:val="0"/>
      <w:marTop w:val="0"/>
      <w:marBottom w:val="0"/>
      <w:divBdr>
        <w:top w:val="none" w:sz="0" w:space="0" w:color="auto"/>
        <w:left w:val="none" w:sz="0" w:space="0" w:color="auto"/>
        <w:bottom w:val="none" w:sz="0" w:space="0" w:color="auto"/>
        <w:right w:val="none" w:sz="0" w:space="0" w:color="auto"/>
      </w:divBdr>
    </w:div>
    <w:div w:id="1616408035">
      <w:bodyDiv w:val="1"/>
      <w:marLeft w:val="0"/>
      <w:marRight w:val="0"/>
      <w:marTop w:val="0"/>
      <w:marBottom w:val="0"/>
      <w:divBdr>
        <w:top w:val="none" w:sz="0" w:space="0" w:color="auto"/>
        <w:left w:val="none" w:sz="0" w:space="0" w:color="auto"/>
        <w:bottom w:val="none" w:sz="0" w:space="0" w:color="auto"/>
        <w:right w:val="none" w:sz="0" w:space="0" w:color="auto"/>
      </w:divBdr>
    </w:div>
    <w:div w:id="1628660694">
      <w:bodyDiv w:val="1"/>
      <w:marLeft w:val="0"/>
      <w:marRight w:val="0"/>
      <w:marTop w:val="0"/>
      <w:marBottom w:val="0"/>
      <w:divBdr>
        <w:top w:val="none" w:sz="0" w:space="0" w:color="auto"/>
        <w:left w:val="none" w:sz="0" w:space="0" w:color="auto"/>
        <w:bottom w:val="none" w:sz="0" w:space="0" w:color="auto"/>
        <w:right w:val="none" w:sz="0" w:space="0" w:color="auto"/>
      </w:divBdr>
    </w:div>
    <w:div w:id="1657297862">
      <w:bodyDiv w:val="1"/>
      <w:marLeft w:val="0"/>
      <w:marRight w:val="0"/>
      <w:marTop w:val="0"/>
      <w:marBottom w:val="0"/>
      <w:divBdr>
        <w:top w:val="none" w:sz="0" w:space="0" w:color="auto"/>
        <w:left w:val="none" w:sz="0" w:space="0" w:color="auto"/>
        <w:bottom w:val="none" w:sz="0" w:space="0" w:color="auto"/>
        <w:right w:val="none" w:sz="0" w:space="0" w:color="auto"/>
      </w:divBdr>
    </w:div>
    <w:div w:id="1659461723">
      <w:bodyDiv w:val="1"/>
      <w:marLeft w:val="0"/>
      <w:marRight w:val="0"/>
      <w:marTop w:val="0"/>
      <w:marBottom w:val="0"/>
      <w:divBdr>
        <w:top w:val="none" w:sz="0" w:space="0" w:color="auto"/>
        <w:left w:val="none" w:sz="0" w:space="0" w:color="auto"/>
        <w:bottom w:val="none" w:sz="0" w:space="0" w:color="auto"/>
        <w:right w:val="none" w:sz="0" w:space="0" w:color="auto"/>
      </w:divBdr>
    </w:div>
    <w:div w:id="1697002291">
      <w:bodyDiv w:val="1"/>
      <w:marLeft w:val="0"/>
      <w:marRight w:val="0"/>
      <w:marTop w:val="0"/>
      <w:marBottom w:val="0"/>
      <w:divBdr>
        <w:top w:val="none" w:sz="0" w:space="0" w:color="auto"/>
        <w:left w:val="none" w:sz="0" w:space="0" w:color="auto"/>
        <w:bottom w:val="none" w:sz="0" w:space="0" w:color="auto"/>
        <w:right w:val="none" w:sz="0" w:space="0" w:color="auto"/>
      </w:divBdr>
    </w:div>
    <w:div w:id="1729721211">
      <w:bodyDiv w:val="1"/>
      <w:marLeft w:val="0"/>
      <w:marRight w:val="0"/>
      <w:marTop w:val="0"/>
      <w:marBottom w:val="0"/>
      <w:divBdr>
        <w:top w:val="none" w:sz="0" w:space="0" w:color="auto"/>
        <w:left w:val="none" w:sz="0" w:space="0" w:color="auto"/>
        <w:bottom w:val="none" w:sz="0" w:space="0" w:color="auto"/>
        <w:right w:val="none" w:sz="0" w:space="0" w:color="auto"/>
      </w:divBdr>
    </w:div>
    <w:div w:id="1756592078">
      <w:bodyDiv w:val="1"/>
      <w:marLeft w:val="0"/>
      <w:marRight w:val="0"/>
      <w:marTop w:val="0"/>
      <w:marBottom w:val="0"/>
      <w:divBdr>
        <w:top w:val="none" w:sz="0" w:space="0" w:color="auto"/>
        <w:left w:val="none" w:sz="0" w:space="0" w:color="auto"/>
        <w:bottom w:val="none" w:sz="0" w:space="0" w:color="auto"/>
        <w:right w:val="none" w:sz="0" w:space="0" w:color="auto"/>
      </w:divBdr>
    </w:div>
    <w:div w:id="1992177156">
      <w:bodyDiv w:val="1"/>
      <w:marLeft w:val="0"/>
      <w:marRight w:val="0"/>
      <w:marTop w:val="0"/>
      <w:marBottom w:val="0"/>
      <w:divBdr>
        <w:top w:val="none" w:sz="0" w:space="0" w:color="auto"/>
        <w:left w:val="none" w:sz="0" w:space="0" w:color="auto"/>
        <w:bottom w:val="none" w:sz="0" w:space="0" w:color="auto"/>
        <w:right w:val="none" w:sz="0" w:space="0" w:color="auto"/>
      </w:divBdr>
    </w:div>
    <w:div w:id="20516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2110</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TUNCEL</dc:creator>
  <cp:lastModifiedBy>Berrin İNCEÖZ</cp:lastModifiedBy>
  <cp:revision>4</cp:revision>
  <cp:lastPrinted>2019-04-12T06:46:00Z</cp:lastPrinted>
  <dcterms:created xsi:type="dcterms:W3CDTF">2020-06-11T11:31:00Z</dcterms:created>
  <dcterms:modified xsi:type="dcterms:W3CDTF">2020-06-12T11:04:00Z</dcterms:modified>
</cp:coreProperties>
</file>